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"http:///bien-8455.html"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Duplex 2 chambres avec jardin SUD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962400" cy="329184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2951 B) : Situé dans le quartier du cimetière d'Ixelles (Rue Elise 62), superbe appartement/duplex meublé de 2 chambres, salle de bain, WC séparé, salon, salle à manger avec cuisine ouverte avec jardin et cour orienté SUD. L'appartement comprend de très nombreux rangements encastrés. Petite copropriété SANS CHARGES COMMUNES ! Qu'attendez-vous pour visiter ?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1.475 € + 0 €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Elise, 62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Américaine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50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2 Chambres 3,91 x 2,96 = 11,57 m² 2,98 x 2,59 = 7,72 m²</w:t>
      </w:r>
    </w:p>
    <w:p>
      <w:pPr>
        <w:pStyle w:val="Détail"/>
        <w:numPr>
          <w:ilvl w:val="0"/>
          <w:numId w:val="3"/>
        </w:numPr>
      </w:pPr>
      <w:r>
        <w:t xml:space="preserve">Hall  3,82 x 0,94 = 9,52 m²</w:t>
      </w:r>
    </w:p>
    <w:p>
      <w:pPr>
        <w:pStyle w:val="Détail"/>
        <w:numPr>
          <w:ilvl w:val="0"/>
          <w:numId w:val="3"/>
        </w:numPr>
      </w:pPr>
      <w:r>
        <w:t xml:space="preserve">Salle de bains 1,53 x 3,03 = 4,64 m²</w:t>
      </w:r>
    </w:p>
    <w:p>
      <w:pPr>
        <w:pStyle w:val="Détail"/>
        <w:numPr>
          <w:ilvl w:val="0"/>
          <w:numId w:val="3"/>
        </w:numPr>
      </w:pPr>
      <w:r>
        <w:t xml:space="preserve">WC 1,36 x 1,05 = 1,43 m²</w:t>
      </w: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Salle à manger 3,61 x 4,12 = 14,87 m²</w:t>
      </w:r>
    </w:p>
    <w:p>
      <w:pPr>
        <w:pStyle w:val="Détail"/>
        <w:numPr>
          <w:ilvl w:val="0"/>
          <w:numId w:val="3"/>
        </w:numPr>
      </w:pPr>
      <w:r>
        <w:t xml:space="preserve">Salon 3,30 x 4,53 = 14,95 m²</w:t>
      </w:r>
    </w:p>
    <w:p>
      <w:pPr>
        <w:pStyle w:val="Type de détail"/>
      </w:pPr>
      <w:r>
        <w:t xml:space="preserve">Terrain:</w:t>
      </w:r>
    </w:p>
    <w:p>
      <w:pPr>
        <w:pStyle w:val="Détail"/>
        <w:numPr>
          <w:ilvl w:val="0"/>
          <w:numId w:val="3"/>
        </w:numPr>
      </w:pPr>
      <w:r>
        <w:t xml:space="preserve">Jardin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50,00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201806140000529868018</w:t>
      </w:r>
    </w:p>
    <w:p>
      <w:pPr>
        <w:pStyle w:val="Détail"/>
        <w:numPr>
          <w:ilvl w:val="0"/>
          <w:numId w:val="3"/>
        </w:numPr>
      </w:pPr>
      <w:r>
        <w:t xml:space="preserve">Prestation énergétique 252,00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22.024,00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2819400" cy="188595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90800" cy="188595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</w:t>
      </w:r>
      <w:r>
        <w:drawing>
          <wp:inline distT="0" distB="0" distL="0" distR="0">
            <wp:extent cx="2667000" cy="200025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6032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</w:t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