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widowControl w:val="on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"bien-8396.html"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Idéal INVESTISSEMENT – Maison de rapport composée de 3 logements + combles + garage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2697480" cy="347472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IXELLES (Réf. 2923) – Maison de rapport composée de 3 logements + garage, caves et jardin ! Situé dans un quartier recherché d’Ixelles, à proximité de nombreuses facilités, cet immeuble de rapport représente une excellente opportunité d’investissement. L’immeuble se compose de 3 appartements : Au rez-de-chaussée : un logement comprenant un séjour, une cuisine, 1 chambre, une salle de bain, un WC séparé, ainsi qu’un accès direct au jardin. Au 1er et 2e étage : un appartement composé d’un séjour/salle à manger, une cuisine, 2 chambres, une salle de bain et un WC séparé. Au 3e étage : combles mansardés offrant 3 pièces supplémentaires. Au sous-sol : caves, garage et accès direct au jardin. Immeuble idéal pour investissement avec beau potentiel locatif. 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850.000 €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Rue Emile Banning, 25 à 1050 Ixelles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Affectation du bien : Bien de rapport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5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3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Garage / Parking : 1 / 1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Jardin : oui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Exposition : Nord-Ouest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Aménagée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Gaz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cadastral : 1.888 €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328 m²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RDC:</w:t>
      </w:r>
    </w:p>
    <w:p>
      <w:pPr>
        <w:pStyle w:val="Détail"/>
        <w:numPr>
          <w:ilvl w:val="0"/>
          <w:numId w:val="3"/>
        </w:numPr>
      </w:pPr>
      <w:r>
        <w:t xml:space="preserve">Chambre 5,31 x 4,76 = 25,27 m²</w:t>
      </w:r>
    </w:p>
    <w:p>
      <w:pPr>
        <w:pStyle w:val="Détail"/>
        <w:numPr>
          <w:ilvl w:val="0"/>
          <w:numId w:val="3"/>
        </w:numPr>
      </w:pPr>
      <w:r>
        <w:t xml:space="preserve">Cuisine 2,68 x 3,15 = 8,44 m²</w:t>
      </w:r>
    </w:p>
    <w:p>
      <w:pPr>
        <w:pStyle w:val="Détail"/>
        <w:numPr>
          <w:ilvl w:val="0"/>
          <w:numId w:val="3"/>
        </w:numPr>
      </w:pPr>
      <w:r>
        <w:t xml:space="preserve">Hall  0,95 x 1,44 = 1,37 m² </w:t>
      </w:r>
    </w:p>
    <w:p>
      <w:pPr>
        <w:pStyle w:val="Détail"/>
        <w:numPr>
          <w:ilvl w:val="0"/>
          <w:numId w:val="3"/>
        </w:numPr>
      </w:pPr>
      <w:r>
        <w:t xml:space="preserve">Salle à manger 4,26 x 2,96 = 12,61 m²</w:t>
      </w:r>
    </w:p>
    <w:p>
      <w:pPr>
        <w:pStyle w:val="Détail"/>
        <w:numPr>
          <w:ilvl w:val="0"/>
          <w:numId w:val="3"/>
        </w:numPr>
      </w:pPr>
      <w:r>
        <w:t xml:space="preserve">Salle de bains 2,68 x 0,95 = 2,54 m²</w:t>
      </w:r>
    </w:p>
    <w:p>
      <w:pPr>
        <w:pStyle w:val="Détail"/>
        <w:numPr>
          <w:ilvl w:val="0"/>
          <w:numId w:val="3"/>
        </w:numPr>
      </w:pPr>
      <w:r>
        <w:t xml:space="preserve">Salon 4,05 x 4,85 = 19,64 m²</w:t>
      </w:r>
    </w:p>
    <w:p>
      <w:pPr>
        <w:pStyle w:val="Détail"/>
        <w:numPr>
          <w:ilvl w:val="0"/>
          <w:numId w:val="3"/>
        </w:numPr>
      </w:pPr>
      <w:r>
        <w:t xml:space="preserve">WC 0,82 x 1,23 = 1,01 m²</w:t>
      </w:r>
    </w:p>
    <w:p>
      <w:pPr>
        <w:pStyle w:val="Détail"/>
        <w:numPr>
          <w:ilvl w:val="0"/>
          <w:numId w:val="0"/>
        </w:numPr>
        <w:ind w:left="0" w:firstLine="0"/>
      </w:pPr>
      <w:r>
        <w:rPr>
          <w:b w:val="on"/>
        </w:rPr>
        <w:t xml:space="preserve">PEB</w:t>
      </w:r>
      <w:r>
        <w:t xml:space="preserve"> : G</w:t>
      </w:r>
    </w:p>
    <w:p>
      <w:pPr>
        <w:pStyle w:val="Détail"/>
        <w:numPr>
          <w:ilvl w:val="0"/>
          <w:numId w:val="0"/>
        </w:numPr>
        <w:ind w:left="0" w:firstLine="0"/>
      </w:pPr>
      <w:r>
        <w:rPr>
          <w:b w:val="on"/>
        </w:rPr>
        <w:t xml:space="preserve">Electricité </w:t>
      </w:r>
      <w:r>
        <w:t xml:space="preserve">: non-conforme</w:t>
      </w:r>
    </w:p>
    <w:p>
      <w:pPr>
        <w:pStyle w:val="Détail"/>
        <w:numPr>
          <w:ilvl w:val="0"/>
          <w:numId w:val="0"/>
        </w:numPr>
        <w:ind w:left="0" w:firstLine="0"/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1ère étage:</w:t>
      </w:r>
    </w:p>
    <w:p>
      <w:pPr>
        <w:pStyle w:val="Détail"/>
        <w:numPr>
          <w:ilvl w:val="0"/>
          <w:numId w:val="3"/>
        </w:numPr>
      </w:pPr>
      <w:r>
        <w:t xml:space="preserve">2 Chambres 5,31 x 3,74 = 19,86 m² 3,80 x 1,97 = 7,49 m²</w:t>
      </w:r>
    </w:p>
    <w:p>
      <w:pPr>
        <w:pStyle w:val="Détail"/>
        <w:numPr>
          <w:ilvl w:val="0"/>
          <w:numId w:val="3"/>
        </w:numPr>
      </w:pPr>
      <w:r>
        <w:t xml:space="preserve">Cuisine 4,26 x 2,96 = 12,61 m²</w:t>
      </w:r>
    </w:p>
    <w:p>
      <w:pPr>
        <w:pStyle w:val="Détail"/>
        <w:numPr>
          <w:ilvl w:val="0"/>
          <w:numId w:val="3"/>
        </w:numPr>
      </w:pPr>
      <w:r>
        <w:t xml:space="preserve">Hall  0,95 x 1,44 = 1,37 m² </w:t>
      </w:r>
    </w:p>
    <w:p>
      <w:pPr>
        <w:pStyle w:val="Détail"/>
        <w:numPr>
          <w:ilvl w:val="0"/>
          <w:numId w:val="3"/>
        </w:numPr>
      </w:pPr>
      <w:r>
        <w:t xml:space="preserve">Salle de bains 2,68 x 3,15 = 8,44 m²</w:t>
      </w:r>
    </w:p>
    <w:p>
      <w:pPr>
        <w:pStyle w:val="Détail"/>
        <w:numPr>
          <w:ilvl w:val="0"/>
          <w:numId w:val="3"/>
        </w:numPr>
      </w:pPr>
      <w:r>
        <w:t xml:space="preserve">Séjour 4,05 x 4,85 = 19,64 m²</w:t>
      </w:r>
    </w:p>
    <w:p>
      <w:pPr>
        <w:pStyle w:val="Détail"/>
        <w:numPr>
          <w:ilvl w:val="0"/>
          <w:numId w:val="3"/>
        </w:numPr>
      </w:pPr>
      <w:r>
        <w:t xml:space="preserve">2 WC 0,95 x 1,03 = 0,98 m² 0,82 x 1,23 = 1,01 m²</w:t>
      </w:r>
    </w:p>
    <w:p>
      <w:pPr>
        <w:pStyle w:val="Détail"/>
        <w:numPr>
          <w:ilvl w:val="0"/>
          <w:numId w:val="0"/>
        </w:numPr>
        <w:ind w:left="0" w:firstLine="0"/>
      </w:pPr>
      <w:r>
        <w:rPr>
          <w:b w:val="on"/>
        </w:rPr>
        <w:t xml:space="preserve">PEB</w:t>
      </w:r>
      <w:r>
        <w:t xml:space="preserve"> : G</w:t>
      </w:r>
    </w:p>
    <w:p>
      <w:pPr>
        <w:pStyle w:val="Détail"/>
        <w:numPr>
          <w:ilvl w:val="0"/>
          <w:numId w:val="0"/>
        </w:numPr>
        <w:ind w:left="0" w:firstLine="0"/>
      </w:pPr>
      <w:r>
        <w:rPr>
          <w:b w:val="on"/>
        </w:rPr>
        <w:t xml:space="preserve">Electricité</w:t>
      </w:r>
      <w:r>
        <w:t xml:space="preserve"> : non-conforme</w:t>
      </w:r>
    </w:p>
    <w:p>
      <w:pPr>
        <w:pStyle w:val="Détail"/>
        <w:numPr>
          <w:ilvl w:val="0"/>
          <w:numId w:val="0"/>
        </w:numPr>
        <w:ind w:left="0" w:firstLine="0"/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2ème étage:</w:t>
      </w:r>
    </w:p>
    <w:p>
      <w:pPr>
        <w:pStyle w:val="Détail"/>
        <w:numPr>
          <w:ilvl w:val="0"/>
          <w:numId w:val="3"/>
        </w:numPr>
      </w:pPr>
      <w:r>
        <w:t xml:space="preserve">2 Chambres 3,72 x 5,40 = 20,09 m² 3,88 x 1,99 = 7,72 m²</w:t>
      </w:r>
    </w:p>
    <w:p>
      <w:pPr>
        <w:pStyle w:val="Détail"/>
        <w:numPr>
          <w:ilvl w:val="0"/>
          <w:numId w:val="3"/>
        </w:numPr>
      </w:pPr>
      <w:r>
        <w:t xml:space="preserve">Cuisine 4,26 x 2,96 = 12,61 m²</w:t>
      </w:r>
    </w:p>
    <w:p>
      <w:pPr>
        <w:pStyle w:val="Détail"/>
        <w:numPr>
          <w:ilvl w:val="0"/>
          <w:numId w:val="3"/>
        </w:numPr>
      </w:pPr>
      <w:r>
        <w:t xml:space="preserve">Hall  0,95 x 1,44 = 1,37 m² </w:t>
      </w:r>
    </w:p>
    <w:p>
      <w:pPr>
        <w:pStyle w:val="Détail"/>
        <w:numPr>
          <w:ilvl w:val="0"/>
          <w:numId w:val="3"/>
        </w:numPr>
      </w:pPr>
      <w:r>
        <w:t xml:space="preserve">Salle de bain 1,50 x 2,09 = 3,14 m²</w:t>
      </w:r>
    </w:p>
    <w:p>
      <w:pPr>
        <w:pStyle w:val="Détail"/>
        <w:numPr>
          <w:ilvl w:val="0"/>
          <w:numId w:val="3"/>
        </w:numPr>
      </w:pPr>
      <w:r>
        <w:t xml:space="preserve">Séjour 4,05 x 4,85 = 19,64 m²</w:t>
      </w:r>
    </w:p>
    <w:p>
      <w:pPr>
        <w:pStyle w:val="Détail"/>
        <w:numPr>
          <w:ilvl w:val="0"/>
          <w:numId w:val="3"/>
        </w:numPr>
      </w:pPr>
      <w:r>
        <w:t xml:space="preserve">WC 0,82 x 1,23 = 1,01 m²</w:t>
      </w:r>
    </w:p>
    <w:p>
      <w:pPr>
        <w:pStyle w:val="Détail"/>
        <w:numPr>
          <w:ilvl w:val="0"/>
          <w:numId w:val="0"/>
        </w:numPr>
        <w:ind w:left="0" w:firstLine="0"/>
      </w:pPr>
      <w:r>
        <w:rPr>
          <w:b w:val="on"/>
        </w:rPr>
        <w:t xml:space="preserve">PEB </w:t>
      </w:r>
      <w:r>
        <w:t xml:space="preserve">: G</w:t>
      </w:r>
    </w:p>
    <w:p>
      <w:pPr>
        <w:pStyle w:val="Détail"/>
        <w:numPr>
          <w:ilvl w:val="0"/>
          <w:numId w:val="0"/>
        </w:numPr>
        <w:ind w:left="0" w:firstLine="0"/>
      </w:pPr>
      <w:r>
        <w:rPr>
          <w:b w:val="on"/>
        </w:rPr>
        <w:t xml:space="preserve">Electricité</w:t>
      </w:r>
      <w:r>
        <w:t xml:space="preserve"> : non-conforme</w:t>
      </w:r>
    </w:p>
    <w:p>
      <w:pPr>
        <w:pStyle w:val="Détail"/>
        <w:numPr>
          <w:ilvl w:val="0"/>
          <w:numId w:val="0"/>
        </w:numPr>
        <w:ind w:left="0" w:firstLine="0"/>
      </w:pPr>
    </w:p>
    <w:p>
      <w:pPr>
        <w:pStyle w:val="Détail"/>
        <w:numPr>
          <w:ilvl w:val="0"/>
          <w:numId w:val="0"/>
        </w:numPr>
        <w:ind w:left="0" w:firstLine="0"/>
      </w:pPr>
    </w:p>
    <w:p>
      <w:pPr>
        <w:pStyle w:val="Détail"/>
        <w:numPr>
          <w:ilvl w:val="0"/>
          <w:numId w:val="0"/>
        </w:numPr>
        <w:ind w:left="0" w:firstLine="0"/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Grenier:</w:t>
      </w:r>
    </w:p>
    <w:p>
      <w:pPr>
        <w:pStyle w:val="Détail"/>
        <w:numPr>
          <w:ilvl w:val="0"/>
          <w:numId w:val="3"/>
        </w:numPr>
      </w:pPr>
      <w:r>
        <w:t xml:space="preserve">2 Chambres</w:t>
      </w:r>
    </w:p>
    <w:p>
      <w:pPr>
        <w:pStyle w:val="Détail"/>
        <w:numPr>
          <w:ilvl w:val="0"/>
          <w:numId w:val="3"/>
        </w:numPr>
      </w:pPr>
      <w:r>
        <w:t xml:space="preserve">Comble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Sous Sol:</w:t>
      </w:r>
    </w:p>
    <w:p>
      <w:pPr>
        <w:pStyle w:val="Détail"/>
        <w:numPr>
          <w:ilvl w:val="0"/>
          <w:numId w:val="3"/>
        </w:numPr>
      </w:pPr>
      <w:r>
        <w:t xml:space="preserve">Cave</w:t>
      </w:r>
    </w:p>
    <w:p>
      <w:pPr>
        <w:pStyle w:val="Détail"/>
        <w:numPr>
          <w:ilvl w:val="0"/>
          <w:numId w:val="3"/>
        </w:numPr>
      </w:pPr>
      <w:r>
        <w:t xml:space="preserve">jardin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Pièces diverses:</w:t>
      </w:r>
    </w:p>
    <w:p>
      <w:pPr>
        <w:pStyle w:val="Détail"/>
        <w:numPr>
          <w:ilvl w:val="0"/>
          <w:numId w:val="3"/>
        </w:numPr>
      </w:pPr>
      <w:r>
        <w:t xml:space="preserve">Buanderie</w:t>
      </w:r>
    </w:p>
    <w:p>
      <w:pPr>
        <w:pStyle w:val="Détail"/>
        <w:numPr>
          <w:ilvl w:val="0"/>
          <w:numId w:val="3"/>
        </w:numPr>
      </w:pPr>
      <w:r>
        <w:t xml:space="preserve">Garage</w:t>
      </w:r>
    </w:p>
    <w:p>
      <w:pPr>
        <w:pStyle w:val="Détail"/>
        <w:numPr>
          <w:ilvl w:val="0"/>
          <w:numId w:val="0"/>
        </w:numPr>
        <w:tabs>
          <w:tab w:val="left" w:pos="15876"/>
          <w:tab w:val="clear" w:pos="360"/>
        </w:tabs>
        <w:ind w:left="0" w:firstLine="0"/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Certifications:</w:t>
      </w:r>
    </w:p>
    <w:p>
      <w:pPr>
        <w:pStyle w:val="Détail"/>
        <w:numPr>
          <w:ilvl w:val="0"/>
          <w:numId w:val="3"/>
        </w:numPr>
      </w:pPr>
      <w:r>
        <w:t xml:space="preserve">Emissions CO2 75,00 Kg Co2m²an</w:t>
      </w:r>
    </w:p>
    <w:p>
      <w:pPr>
        <w:pStyle w:val="Détail"/>
        <w:numPr>
          <w:ilvl w:val="0"/>
          <w:numId w:val="3"/>
        </w:numPr>
      </w:pPr>
      <w:r>
        <w:t xml:space="preserve">Numéro de certificat PEB</w:t>
      </w:r>
    </w:p>
    <w:p>
      <w:pPr>
        <w:pStyle w:val="Détail"/>
        <w:numPr>
          <w:ilvl w:val="0"/>
          <w:numId w:val="3"/>
        </w:numPr>
      </w:pPr>
      <w:r>
        <w:t xml:space="preserve">Prestation énergétique 376,00 Kwh</w:t>
      </w:r>
    </w:p>
    <w:p>
      <w:pPr>
        <w:pStyle w:val="Détail"/>
        <w:numPr>
          <w:ilvl w:val="0"/>
          <w:numId w:val="3"/>
        </w:numPr>
      </w:pPr>
      <w:r>
        <w:t xml:space="preserve">Total énergie primaire 30.037,00 kwh/an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13716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</w:t>
      </w:r>
      <w:r>
        <w:drawing>
          <wp:inline distT="0" distB="0" distL="0" distR="0">
            <wp:extent cx="1371600" cy="18288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</w:t>
      </w:r>
      <w:r>
        <w:drawing>
          <wp:inline distT="0" distB="0" distL="0" distR="0">
            <wp:extent cx="1371600" cy="18288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371600" cy="18288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</w:t>
      </w:r>
      <w:r>
        <w:drawing>
          <wp:inline distT="0" distB="0" distL="0" distR="0">
            <wp:extent cx="1371600" cy="18288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</w:t>
      </w:r>
      <w:r>
        <w:drawing>
          <wp:inline distT="0" distB="0" distL="0" distR="0">
            <wp:extent cx="1828800" cy="13716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13716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</w:t>
      </w:r>
      <w:r>
        <w:drawing>
          <wp:inline distT="0" distB="0" distL="0" distR="0">
            <wp:extent cx="1828800" cy="13716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</w:t>
      </w:r>
      <w:r>
        <w:drawing>
          <wp:inline distT="0" distB="0" distL="0" distR="0">
            <wp:extent cx="1828800" cy="13716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13716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</w:t>
      </w:r>
      <w:r>
        <w:drawing>
          <wp:inline distT="0" distB="0" distL="0" distR="0">
            <wp:extent cx="1828800" cy="137160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</w:t>
      </w:r>
      <w:r>
        <w:drawing>
          <wp:inline distT="0" distB="0" distL="0" distR="0">
            <wp:extent cx="1371600" cy="182880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1371600"/>
            <wp:docPr id="15" name="_tx_id_1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00019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</w:t>
      </w:r>
      <w:r>
        <w:drawing>
          <wp:inline distT="0" distB="0" distL="0" distR="0">
            <wp:extent cx="1828800" cy="1371600"/>
            <wp:docPr id="16" name="_tx_id_1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/>
                  </pic:nvPicPr>
                  <pic:blipFill>
                    <a:blip r:embed="rId0002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</w:t>
      </w:r>
      <w:r>
        <w:drawing>
          <wp:inline distT="0" distB="0" distL="0" distR="0">
            <wp:extent cx="1828800" cy="1371600"/>
            <wp:docPr id="17" name="_tx_id_1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/>
                  </pic:nvPicPr>
                  <pic:blipFill>
                    <a:blip r:embed="rId00021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828800" cy="1371600"/>
            <wp:docPr id="18" name="_tx_id_1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/>
                  </pic:nvPicPr>
                  <pic:blipFill>
                    <a:blip r:embed="rId00022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</w:t>
      </w:r>
      <w:r>
        <w:drawing>
          <wp:inline distT="0" distB="0" distL="0" distR="0">
            <wp:extent cx="1371600" cy="1828800"/>
            <wp:docPr id="19" name="_tx_id_1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/>
                  </pic:nvPicPr>
                  <pic:blipFill>
                    <a:blip r:embed="rId00023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</w:t>
      </w:r>
      <w:r>
        <w:drawing>
          <wp:inline distT="0" distB="0" distL="0" distR="0">
            <wp:extent cx="1828800" cy="1371600"/>
            <wp:docPr id="20" name="_tx_id_2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/>
                    <pic:cNvPicPr/>
                  </pic:nvPicPr>
                  <pic:blipFill>
                    <a:blip r:embed="rId00024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sectPr>
      <w:headerReference w:type="default" r:id="rId00025"/>
      <w:footerReference w:type="default" r:id="rId00026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clear" w:pos="10206"/>
              <w:tab w:val="clear" w:pos="11340"/>
            </w:tabs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02 660 21 21 Site web : p/* www.century21.be</w:t>
          </w:r>
        </w:p>
        <w:p>
          <w:pPr>
            <w:pStyle w:val="[Normal]"/>
            <w:widowControl w:val="on"/>
            <w:tabs>
              <w:tab w:val="left" w:pos="9637"/>
              <w:tab w:val="left" w:pos="9637"/>
              <w:tab w:val="clear" w:pos="10206"/>
              <w:tab w:val="clear" w:pos="11340"/>
            </w:tabs>
            <w:jc w:val="center"/>
            <w:rPr>
              <w:rFonts w:ascii="Bahnschrift SemiLight" w:hAnsi="Bahnschrift SemiLight" w:eastAsia="Bahnschrift SemiLight"/>
              <w:color w:val="FFFFFF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info@century21boondael.be</w:t>
          </w:r>
        </w:p>
      </w:tc>
    </w:tr>
  </w:tbl>
  <w:p>
    <w:pPr>
      <w:pStyle w:val="[Normal]"/>
      <w:widowControl w:val="on"/>
      <w:tabs>
        <w:tab w:val="left" w:pos="9637"/>
        <w:tab w:val="left" w:pos="9637"/>
        <w:tab w:val="clear" w:pos="10206"/>
        <w:tab w:val="clear" w:pos="11340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widowControl w:val="on"/>
      <w:tabs>
        <w:tab w:val="left" w:pos="9637"/>
        <w:tab w:val="left" w:pos="9637"/>
        <w:tab w:val="clear" w:pos="10206"/>
        <w:tab w:val="clear" w:pos="11340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clear" w:pos="10206"/>
              <w:tab w:val="clear" w:pos="11340"/>
            </w:tabs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clear" w:pos="10206"/>
              <w:tab w:val="clear" w:pos="11340"/>
            </w:tabs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widowControl w:val="on"/>
      <w:tabs>
        <w:tab w:val="left" w:pos="9637"/>
        <w:tab w:val="left" w:pos="9637"/>
        <w:tab w:val="clear" w:pos="10206"/>
        <w:tab w:val="clear" w:pos="11340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widowControl w:val="on"/>
      <w:tabs>
        <w:tab w:val="left" w:pos="9637"/>
        <w:tab w:val="left" w:pos="9637"/>
        <w:tab w:val="clear" w:pos="10206"/>
        <w:tab w:val="clear" w:pos="11340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Détail">
    <w:name w:val="Détail"/>
    <w:basedOn w:val="[Normal]"/>
    <w:next w:val="Détail"/>
    <w:qFormat/>
    <w:pPr>
      <w:widowControl w:val="on"/>
      <w:numPr>
        <w:ilvl w:val="0"/>
        <w:numId w:val="1"/>
      </w:numPr>
      <w:tabs>
        <w:tab w:val="left" w:pos="360"/>
        <w:tab w:val="clear" w:pos="15876"/>
      </w:tabs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  <w:tabs>
        <w:tab w:val="left" w:pos="15876"/>
        <w:tab w:val="clear" w:pos="360"/>
      </w:tabs>
    </w:pPr>
    <w:rPr>
      <w:b w:val="on"/>
    </w:rPr>
  </w:style>
  <w:style w:type="paragraph" w:styleId="Titre1">
    <w:name w:val="Titre1"/>
    <w:basedOn w:val="[Normal]"/>
    <w:next w:val="Titre1"/>
    <w:qFormat/>
    <w:pPr>
      <w:widowControl w:val="on"/>
    </w:pPr>
    <w:rPr>
      <w:b w:val="on"/>
      <w:sz w:val="28"/>
    </w:rPr>
  </w:style>
  <w:style w:type="paragraph" w:styleId="TEST">
    <w:name w:val="TEST"/>
    <w:basedOn w:val="[Normal]"/>
    <w:next w:val="TEST"/>
    <w:qFormat/>
    <w:pPr>
      <w:widowControl w:val="on"/>
    </w:pPr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25" Type="http://schemas.openxmlformats.org/officeDocument/2006/relationships/header" Target="header0001.xml"/>
	<Relationship Id="rId00026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0" Type="http://schemas.openxmlformats.org/officeDocument/2006/relationships/image" Target="media/image0016.jpg"/>
	<Relationship Id="rId00021" Type="http://schemas.openxmlformats.org/officeDocument/2006/relationships/image" Target="media/image0017.jpg"/>
	<Relationship Id="rId00022" Type="http://schemas.openxmlformats.org/officeDocument/2006/relationships/image" Target="media/image0018.jpg"/>
	<Relationship Id="rId00023" Type="http://schemas.openxmlformats.org/officeDocument/2006/relationships/image" Target="media/image0019.jpg"/>
	<Relationship Id="rId00024" Type="http://schemas.openxmlformats.org/officeDocument/2006/relationships/image" Target="media/image0020.jpg"/>
	<Relationship Id="rId00027" Type="http://schemas.openxmlformats.org/officeDocument/2006/relationships/numbering" Target="numbering.xml"/>
	<Relationship Id="rId00028" Type="http://schemas.openxmlformats.org/officeDocument/2006/relationships/fontTable" Target="fontTable.xml"/>
	<Relationship Id="rId00029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  <HyperlinkBase>C:\Users\Chaïma HADI\CENTURY 21 Boondael\Century 21 Boondael - Documents\Activimmo\</HyperlinkBas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