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"http:///bien-8396.html"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Idéal INVESTISSEMENT – Maison de rapport composée de 3 logements + combles + garage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291840" cy="408432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(Réf. 2923) – Maison de rapport composée de 3 logements + garage, caves et jardin ! Situé dans un quartier recherché d’Ixelles, à proximité de nombreuses facilités, cet immeuble de rapport représente une excellente opportunité d’investissement. L’immeuble se compose de 3 appartements : Au rez-de-chaussée : un logement comprenant un séjour, une cuisine, 1 chambre, une salle de bain, un WC séparé, ainsi qu’une terrasse avec accès direct au jardin. Au 1er et 2e étage : un appartement composé d’un séjour/salle à manger, une cuisine, 2 chambres, une salle de bain et un WC séparé. Au 3e étage : combles mansardés offrant 3 pièces supplémentaires. Au sous-sol : caves, garage et accès direct au jardin. Immeuble idéal pour investissement avec beau potentiel locatif.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850.000 €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Emile Banning, 25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Bien de rappor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Hauteur plafond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Largeur façade :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