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"bien-8431.html"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À proximité immédiate du quartier Buyl, découvrez cet appartement plein de potentiel.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4815840" cy="338328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2937 B) : À proximité immédiate du quartier Buyl, découvrez cet appartement plein de potentiel, situé à l’arrière d’un immeuble en copropriété, offrant calme et luminosité. Ce bien sans charges de copropriété se compose, à l’étage, d’un spacieux séjour baigné de lumière, avec accès à deux petites terrasses latérales ainsi qu’à une agréable véranda. Une cuisine ouverte, entièrement équipée et aménagée, sublimée par une coupole au plafond apportant une belle lumière naturelle. L’appartement dispose de 2 chambres à coucher, 2 salles de bain et 1 toilette séparée. Garage inclus. En face de l’entrée de l’appartement, un petit terrain privatif est également compris, offrant un espace extérieur supplémentaire aux multiples possibilités. Situation idéale à deux pas des commerces, transports et universités. Beaucoup de charme et de possibilités d’aménagement !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525.000 €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Jeanne, 4a à 1050 Ixelles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Appartement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1 /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espace extérieur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Sud-Est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Equipée et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Chaudière Individuel GAZ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 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0 €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120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 6,16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2 Chambres 5,03 x 4,52 = 22,77 m² 5,08 x 3,41 = 17,32 m²</w:t>
      </w:r>
    </w:p>
    <w:p>
      <w:pPr>
        <w:pStyle w:val="Détail"/>
        <w:numPr>
          <w:ilvl w:val="0"/>
          <w:numId w:val="3"/>
        </w:numPr>
      </w:pPr>
      <w:r>
        <w:t xml:space="preserve">Cuisine 2,27 x 5,83 = 13,23 m²</w:t>
      </w:r>
    </w:p>
    <w:p>
      <w:pPr>
        <w:pStyle w:val="Détail"/>
        <w:numPr>
          <w:ilvl w:val="0"/>
          <w:numId w:val="3"/>
        </w:numPr>
      </w:pPr>
      <w:r>
        <w:t xml:space="preserve">Hall  4,42 x 0,81 = 3,58 m² 1,86 x 2,39 = 4,44 m²</w:t>
      </w:r>
    </w:p>
    <w:p>
      <w:pPr>
        <w:pStyle w:val="Détail"/>
        <w:numPr>
          <w:ilvl w:val="0"/>
          <w:numId w:val="3"/>
        </w:numPr>
      </w:pPr>
      <w:r>
        <w:t xml:space="preserve">2 Salles de bains 3,58 x 1,65 = 5,91 m² 2,11 x 0,83 = 1,75 m²</w:t>
      </w:r>
    </w:p>
    <w:p>
      <w:pPr>
        <w:pStyle w:val="Détail"/>
        <w:numPr>
          <w:ilvl w:val="0"/>
          <w:numId w:val="3"/>
        </w:numPr>
      </w:pPr>
      <w:r>
        <w:t xml:space="preserve">Séjour 7,30 x 4,70 = 34,31 m²</w:t>
      </w:r>
    </w:p>
    <w:p>
      <w:pPr>
        <w:pStyle w:val="Détail"/>
        <w:numPr>
          <w:ilvl w:val="0"/>
          <w:numId w:val="3"/>
        </w:numPr>
      </w:pPr>
      <w:r>
        <w:t xml:space="preserve">Veranda 2,50 x 4,37 = 10,92 m²</w:t>
      </w:r>
    </w:p>
    <w:p>
      <w:pPr>
        <w:pStyle w:val="Détail"/>
        <w:numPr>
          <w:ilvl w:val="0"/>
          <w:numId w:val="3"/>
        </w:numPr>
      </w:pPr>
      <w:r>
        <w:t xml:space="preserve">WC 1,14 x 0,78 = 0,89 m²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Garage</w:t>
      </w:r>
    </w:p>
    <w:p>
      <w:pPr>
        <w:pStyle w:val="Détail"/>
        <w:numPr>
          <w:ilvl w:val="0"/>
          <w:numId w:val="3"/>
        </w:numPr>
      </w:pPr>
      <w:r>
        <w:t xml:space="preserve">2 Terrasse 1,10 x 2,80 = 3,08 m² 1,10 x 2,80 = 3,08 m²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de Cuisine:</w:t>
      </w:r>
    </w:p>
    <w:p>
      <w:pPr>
        <w:pStyle w:val="Détail"/>
        <w:numPr>
          <w:ilvl w:val="0"/>
          <w:numId w:val="3"/>
        </w:numPr>
      </w:pPr>
      <w:r>
        <w:t xml:space="preserve">Congélateur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de Cuisine (suite):</w:t>
      </w:r>
    </w:p>
    <w:p>
      <w:pPr>
        <w:pStyle w:val="Détail"/>
        <w:numPr>
          <w:ilvl w:val="0"/>
          <w:numId w:val="3"/>
        </w:numPr>
      </w:pPr>
      <w:r>
        <w:t xml:space="preserve">Cuisinière au gaz</w:t>
      </w:r>
    </w:p>
    <w:p>
      <w:pPr>
        <w:pStyle w:val="Détail"/>
        <w:numPr>
          <w:ilvl w:val="0"/>
          <w:numId w:val="3"/>
        </w:numPr>
      </w:pPr>
      <w:r>
        <w:t xml:space="preserve">Four</w:t>
      </w:r>
    </w:p>
    <w:p>
      <w:pPr>
        <w:pStyle w:val="Détail"/>
        <w:numPr>
          <w:ilvl w:val="0"/>
          <w:numId w:val="3"/>
        </w:numPr>
      </w:pPr>
      <w:r>
        <w:t xml:space="preserve">Frigo</w:t>
      </w:r>
    </w:p>
    <w:p>
      <w:pPr>
        <w:pStyle w:val="Détail"/>
        <w:numPr>
          <w:ilvl w:val="0"/>
          <w:numId w:val="3"/>
        </w:numPr>
      </w:pPr>
      <w:r>
        <w:t xml:space="preserve">Hotte aspirante</w:t>
      </w:r>
    </w:p>
    <w:p>
      <w:pPr>
        <w:pStyle w:val="Détail"/>
        <w:numPr>
          <w:ilvl w:val="0"/>
          <w:numId w:val="3"/>
        </w:numPr>
      </w:pPr>
      <w:r>
        <w:t xml:space="preserve">Lave vaisselle</w:t>
      </w:r>
    </w:p>
    <w:p>
      <w:pPr>
        <w:pStyle w:val="Détail"/>
        <w:numPr>
          <w:ilvl w:val="0"/>
          <w:numId w:val="3"/>
        </w:numPr>
      </w:pPr>
      <w:r>
        <w:t xml:space="preserve">Meubles de cuisine</w:t>
      </w:r>
    </w:p>
    <w:p>
      <w:pPr>
        <w:pStyle w:val="Détail"/>
        <w:numPr>
          <w:ilvl w:val="0"/>
          <w:numId w:val="3"/>
        </w:numPr>
      </w:pPr>
      <w:r>
        <w:t xml:space="preserve">Double évier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CO2 160,00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20260513-0000753059-01-8</w:t>
      </w:r>
    </w:p>
    <w:p>
      <w:pPr>
        <w:pStyle w:val="Détail"/>
        <w:numPr>
          <w:ilvl w:val="0"/>
          <w:numId w:val="3"/>
        </w:numPr>
      </w:pPr>
      <w:r>
        <w:t xml:space="preserve">Prestation énergétique 798,00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124.644,00 kwh/an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</w:t>
      </w:r>
      <w:r>
        <w:drawing>
          <wp:inline distT="0" distB="0" distL="0" distR="0">
            <wp:extent cx="1828800" cy="13716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</w:t>
      </w:r>
      <w:r>
        <w:drawing>
          <wp:inline distT="0" distB="0" distL="0" distR="0">
            <wp:extent cx="1828800" cy="13716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3716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</w:t>
      </w:r>
      <w:r>
        <w:drawing>
          <wp:inline distT="0" distB="0" distL="0" distR="0">
            <wp:extent cx="1371600" cy="18288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</w:t>
      </w:r>
      <w:r>
        <w:drawing>
          <wp:inline distT="0" distB="0" distL="0" distR="0">
            <wp:extent cx="1828800" cy="13716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</w:t>
      </w:r>
      <w:r>
        <w:drawing>
          <wp:inline distT="0" distB="0" distL="0" distR="0">
            <wp:extent cx="1371600" cy="18288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</w:t>
      </w:r>
      <w:r>
        <w:drawing>
          <wp:inline distT="0" distB="0" distL="0" distR="0">
            <wp:extent cx="1371600" cy="18288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</w:t>
      </w:r>
      <w:r>
        <w:drawing>
          <wp:inline distT="0" distB="0" distL="0" distR="0">
            <wp:extent cx="1828800" cy="13716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</w:t>
      </w:r>
      <w:r>
        <w:drawing>
          <wp:inline distT="0" distB="0" distL="0" distR="0">
            <wp:extent cx="1828800" cy="13716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</w:t>
      </w:r>
      <w:r>
        <w:drawing>
          <wp:inline distT="0" distB="0" distL="0" distR="0">
            <wp:extent cx="1828800" cy="13716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</w:t>
      </w:r>
      <w:r>
        <w:drawing>
          <wp:inline distT="0" distB="0" distL="0" distR="0">
            <wp:extent cx="1828800" cy="13716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3"/>
      <w:footerReference w:type="default" r:id="rId00024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p/* www.century21.be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3" Type="http://schemas.openxmlformats.org/officeDocument/2006/relationships/header" Target="header0001.xml"/>
	<Relationship Id="rId0002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5" Type="http://schemas.openxmlformats.org/officeDocument/2006/relationships/numbering" Target="numbering.xml"/>
	<Relationship Id="rId00026" Type="http://schemas.openxmlformats.org/officeDocument/2006/relationships/fontTable" Target="fontTable.xml"/>
	<Relationship Id="rId0002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C:\Users\Chaïma HADI\CENTURY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