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right"/>
      </w:pPr>
    </w:p>
    <w:p>
      <w:pPr>
        <w:pStyle w:val="[Normal]"/>
        <w:jc w:val="right"/>
      </w:pPr>
      <w:r>
        <w:t xml:space="preserve">Axeco SRL.</w:t>
      </w:r>
    </w:p>
    <w:p>
      <w:pPr>
        <w:pStyle w:val="[Normal]"/>
        <w:jc w:val="right"/>
      </w:pPr>
      <w:r>
        <w:t xml:space="preserve">Chaussée de La Hulpe, 150</w:t>
        <w:br w:type="textWrapping"/>
      </w:r>
      <w:r>
        <w:t xml:space="preserve">1170 Bruxelles</w:t>
      </w:r>
    </w:p>
    <w:p>
      <w:pPr>
        <w:pStyle w:val="[Normal]"/>
        <w:jc w:val="right"/>
      </w:pPr>
      <w:r>
        <w:rPr>
          <w:b w:val="on"/>
        </w:rPr>
        <w:t xml:space="preserve">Tel:</w:t>
      </w:r>
      <w:r>
        <w:t xml:space="preserve"> +32 (0)2 897.20.08</w:t>
        <w:br w:type="textWrapping"/>
      </w:r>
      <w:r>
        <w:rPr>
          <w:b w:val="on"/>
        </w:rPr>
        <w:t xml:space="preserve">E-Mail:</w:t>
      </w:r>
      <w:r>
        <w:t xml:space="preserve"> info@axeco.immo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24 avril 2026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Square Armand Steurs, 21 1210 Bruxelles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Saint-Josse-ten-Noode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Square Armand Steurs, 21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Sengul Demir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8° une copie de l'acte de base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9° une copie de la police globale de l'assurance de l'immeuble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  <w:r>
        <w:rPr>
          <w:rFonts w:ascii="Century Gothic" w:hAnsi="Century Gothic" w:eastAsia="Century Gothic"/>
          <w:sz w:val="24"/>
          <w:u w:val="single"/>
        </w:rPr>
        <w:t xml:space="preserve">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p/*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/>
  </w:style>
  <w:style w:type="paragraph" w:styleId="H3">
    <w:name w:val="H3"/>
    <w:basedOn w:val="BODY"/>
    <w:next w:val="H3"/>
    <w:qFormat/>
    <w:pPr>
      <w:spacing w:before="93" w:after="186"/>
    </w:pPr>
    <w:rPr>
      <w:rFonts w:ascii="" w:hAnsi="" w:eastAsia=""/>
      <w:b w:val="on"/>
      <w:sz w:val="28"/>
    </w:rPr>
  </w:style>
  <w:style w:type="character" w:styleId="STRONG">
    <w:name w:val="STRONG"/>
    <w:qFormat/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