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"http:///bien-8426.html"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Studio 37 m² meublé à louer  – Quartier Cambre-Étoile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810000" cy="28575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Réf 2936 B - Agréable studio meublé de 37 m² lumineux, idéalement situé dans le quartier prisé de Cambre-Étoile, à proximité immédiate de l’Université libre de Bruxelles et parfaitement desservi par les transports en commun. Vous trouverez également de nombreux commerces à proximité, dont un Carrefour, ainsi que la gare d’Etterbeek. Le studio se compose d’un coin nuit, d’un séjour lumineux, d’une cuisine équipée avec lave-vaisselle, d’une salle de douche avec emplacement pour machine à laver, ainsi que de WC séparés. Situé au 2? étage d’un immeuble bien entretenu de 7 étages, le bien bénéficie d’un bon confort de vie. PEB : D+, Infos &amp; Visites CENTURY 21 Boondael 02/660.21.21 OU info@century21boondael.be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Loyer : 800 € + 150 € de charges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Boulevard Général Jacques, 42-44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0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37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2ème étage:</w:t>
      </w:r>
    </w:p>
    <w:p>
      <w:pPr>
        <w:pStyle w:val="Détail"/>
        <w:numPr>
          <w:ilvl w:val="0"/>
          <w:numId w:val="3"/>
        </w:numPr>
      </w:pPr>
      <w:r>
        <w:t xml:space="preserve">Chambre</w:t>
      </w:r>
    </w:p>
    <w:p>
      <w:pPr>
        <w:pStyle w:val="Détail"/>
        <w:numPr>
          <w:ilvl w:val="0"/>
          <w:numId w:val="3"/>
        </w:numPr>
      </w:pPr>
      <w:r>
        <w:t xml:space="preserve">Cuisine</w:t>
      </w:r>
    </w:p>
    <w:p>
      <w:pPr>
        <w:pStyle w:val="Détail"/>
        <w:numPr>
          <w:ilvl w:val="0"/>
          <w:numId w:val="3"/>
        </w:numPr>
      </w:pPr>
      <w:r>
        <w:t xml:space="preserve">Hall</w:t>
      </w:r>
    </w:p>
    <w:p>
      <w:pPr>
        <w:pStyle w:val="Détail"/>
        <w:numPr>
          <w:ilvl w:val="0"/>
          <w:numId w:val="3"/>
        </w:numPr>
      </w:pPr>
      <w:r>
        <w:t xml:space="preserve">Salle de bain</w:t>
      </w:r>
    </w:p>
    <w:p>
      <w:pPr>
        <w:pStyle w:val="Détail"/>
        <w:numPr>
          <w:ilvl w:val="0"/>
          <w:numId w:val="3"/>
        </w:numPr>
      </w:pPr>
      <w:r>
        <w:t xml:space="preserve">Séjour</w:t>
      </w:r>
    </w:p>
    <w:p>
      <w:pPr>
        <w:pStyle w:val="Détail"/>
        <w:numPr>
          <w:ilvl w:val="0"/>
          <w:numId w:val="3"/>
        </w:numPr>
      </w:pPr>
      <w:r>
        <w:t xml:space="preserve">WC</w:t>
      </w:r>
    </w:p>
    <w:p>
      <w:pPr>
        <w:pStyle w:val="Type de détail"/>
      </w:pPr>
      <w:r>
        <w:t xml:space="preserve">Equipements de Cuisine:</w:t>
      </w:r>
    </w:p>
    <w:p>
      <w:pPr>
        <w:pStyle w:val="Détail"/>
        <w:numPr>
          <w:ilvl w:val="0"/>
          <w:numId w:val="3"/>
        </w:numPr>
      </w:pPr>
      <w:r>
        <w:t xml:space="preserve">Congélateur</w:t>
      </w:r>
    </w:p>
    <w:p>
      <w:pPr>
        <w:pStyle w:val="Détail"/>
        <w:numPr>
          <w:ilvl w:val="0"/>
          <w:numId w:val="3"/>
        </w:numPr>
      </w:pPr>
      <w:r>
        <w:t xml:space="preserve">Cuisinière électrique</w:t>
      </w:r>
    </w:p>
    <w:p>
      <w:pPr>
        <w:pStyle w:val="Détail"/>
        <w:numPr>
          <w:ilvl w:val="0"/>
          <w:numId w:val="3"/>
        </w:numPr>
      </w:pPr>
      <w:r>
        <w:t xml:space="preserve">Four à micro-ondes</w:t>
      </w:r>
    </w:p>
    <w:p>
      <w:pPr>
        <w:pStyle w:val="Détail"/>
        <w:numPr>
          <w:ilvl w:val="0"/>
          <w:numId w:val="3"/>
        </w:numPr>
      </w:pPr>
      <w:r>
        <w:t xml:space="preserve">Frigo</w:t>
      </w:r>
    </w:p>
    <w:p>
      <w:pPr>
        <w:pStyle w:val="Détail"/>
        <w:numPr>
          <w:ilvl w:val="0"/>
          <w:numId w:val="3"/>
        </w:numPr>
      </w:pPr>
      <w:r>
        <w:t xml:space="preserve">Hotte aspirante</w:t>
      </w:r>
    </w:p>
    <w:p>
      <w:pPr>
        <w:pStyle w:val="Détail"/>
        <w:numPr>
          <w:ilvl w:val="0"/>
          <w:numId w:val="3"/>
        </w:numPr>
      </w:pPr>
      <w:r>
        <w:t xml:space="preserve">Lave linge</w:t>
      </w:r>
    </w:p>
    <w:p>
      <w:pPr>
        <w:pStyle w:val="Type de détail"/>
      </w:pPr>
      <w:r>
        <w:t xml:space="preserve">Equipements de Cuisine (suite):</w:t>
      </w:r>
    </w:p>
    <w:p>
      <w:pPr>
        <w:pStyle w:val="Détail"/>
        <w:numPr>
          <w:ilvl w:val="0"/>
          <w:numId w:val="3"/>
        </w:numPr>
      </w:pPr>
      <w:r>
        <w:t xml:space="preserve">Lave vaisselle</w:t>
      </w:r>
    </w:p>
    <w:p>
      <w:pPr>
        <w:pStyle w:val="Détail"/>
        <w:numPr>
          <w:ilvl w:val="0"/>
          <w:numId w:val="3"/>
        </w:numPr>
      </w:pPr>
      <w:r>
        <w:t xml:space="preserve">Meubles de cuisine</w:t>
      </w:r>
    </w:p>
    <w:p>
      <w:pPr>
        <w:pStyle w:val="Détail"/>
        <w:numPr>
          <w:ilvl w:val="0"/>
          <w:numId w:val="3"/>
        </w:numPr>
      </w:pPr>
      <w:r>
        <w:t xml:space="preserve">Double évier</w:t>
      </w:r>
    </w:p>
    <w:p>
      <w:pPr>
        <w:pStyle w:val="Type de détail"/>
      </w:pPr>
      <w:r>
        <w:t xml:space="preserve">Equipements Electrique:</w:t>
      </w:r>
    </w:p>
    <w:p>
      <w:pPr>
        <w:pStyle w:val="Détail"/>
        <w:numPr>
          <w:ilvl w:val="0"/>
          <w:numId w:val="3"/>
        </w:numPr>
      </w:pPr>
      <w:r>
        <w:t xml:space="preserve">Videophone</w:t>
      </w:r>
    </w:p>
    <w:p>
      <w:pPr>
        <w:pStyle w:val="Type de détail"/>
      </w:pPr>
      <w:r>
        <w:t xml:space="preserve">Equipements divers:</w:t>
      </w:r>
    </w:p>
    <w:p>
      <w:pPr>
        <w:pStyle w:val="Détail"/>
        <w:numPr>
          <w:ilvl w:val="0"/>
          <w:numId w:val="3"/>
        </w:numPr>
      </w:pPr>
      <w:r>
        <w:t xml:space="preserve">Ascenseur</w:t>
      </w:r>
    </w:p>
    <w:p>
      <w:pPr>
        <w:pStyle w:val="Détail"/>
        <w:numPr>
          <w:ilvl w:val="0"/>
          <w:numId w:val="3"/>
        </w:numPr>
      </w:pPr>
      <w:r>
        <w:t xml:space="preserve">Double vitrage</w:t>
      </w:r>
    </w:p>
    <w:p>
      <w:pPr>
        <w:pStyle w:val="Détail"/>
        <w:numPr>
          <w:ilvl w:val="0"/>
          <w:numId w:val="3"/>
        </w:numPr>
      </w:pPr>
      <w:r>
        <w:t xml:space="preserve">Porte blindée</w:t>
      </w: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32,00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20241003-0000692078-01-8</w:t>
      </w:r>
    </w:p>
    <w:p>
      <w:pPr>
        <w:pStyle w:val="Détail"/>
        <w:numPr>
          <w:ilvl w:val="0"/>
          <w:numId w:val="3"/>
        </w:numPr>
      </w:pPr>
      <w:r>
        <w:t xml:space="preserve">Prestation énergétique 160,00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6.719,00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538095" cy="19050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</w:t>
      </w:r>
      <w:r>
        <w:drawing>
          <wp:inline distT="0" distB="0" distL="0" distR="0">
            <wp:extent cx="2538095" cy="19050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538095" cy="19050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</w:t>
      </w:r>
      <w:r>
        <w:drawing>
          <wp:inline distT="0" distB="0" distL="0" distR="0">
            <wp:extent cx="1428750" cy="19050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428750" cy="19050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</w:t>
      </w:r>
      <w:r>
        <w:drawing>
          <wp:inline distT="0" distB="0" distL="0" distR="0">
            <wp:extent cx="1428750" cy="19050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</w:t>
      </w:r>
      <w:r>
        <w:drawing>
          <wp:inline distT="0" distB="0" distL="0" distR="0">
            <wp:extent cx="1509395" cy="19050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4"/>
      <w:footerReference w:type="default" r:id="rId00015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p/*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4" Type="http://schemas.openxmlformats.org/officeDocument/2006/relationships/header" Target="header0001.xml"/>
	<Relationship Id="rId00015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6" Type="http://schemas.openxmlformats.org/officeDocument/2006/relationships/numbering" Target="numbering.xml"/>
	<Relationship Id="rId00017" Type="http://schemas.openxmlformats.org/officeDocument/2006/relationships/fontTable" Target="fontTable.xml"/>
	<Relationship Id="rId00018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