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"http:///bien-8289.html"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FAIRE OFFRE A PARTIR DE  225.000€ – Charmant appartement 1 chambre à Auderghem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2863 B - Situé entre l’ADEPS et le cimetière d’Auderghem, au 2ème étage d’un petit immeuble de 2 appartements, cet appartement une chambre offre un cadre de vie agréable dans un quartier calme et recherché d’Auderghem. Il se compose comme suit : Un séjour lumineux bénéficiant d’une belle luminosité, Une cuisine équipée fonctionnelle au gaz, Une chambre confortable, Une salle de bain avec baignoire/douche, Un hall d’entrée. Idéalement situé, il se trouve à proximité des transports en commun (métro, tram, bus), des commerces, des écoles et des grands axes. Parfait pour un premier achat, un investissement ou un pied-à-terre. Atouts : faible hauteur d’immeuble, quartier calme, excellente accessibilité, faibles charges. Disponible immédiatement. 45m² de surface habitable + 35m² de comble. PEB G. Electricité non conforme. **FAIRE OFFRE A PARTIR DE 225.000€, sous réserve d’acceptation par les propriétaires. ** Infos &amp; Visites Century 21 Boondael 02/660.21.21 OU www.century21boondael.be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225.000 €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Jean-Baptiste Vannypen, 67 à 1160 Auderghem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780 €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comble 35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13m²</w:t>
      </w:r>
    </w:p>
    <w:p>
      <w:pPr>
        <w:pStyle w:val="Détail"/>
        <w:numPr>
          <w:ilvl w:val="0"/>
          <w:numId w:val="3"/>
        </w:numPr>
      </w:pPr>
      <w:r>
        <w:t xml:space="preserve">Cuisine 7,50m²</w:t>
      </w:r>
    </w:p>
    <w:p>
      <w:pPr>
        <w:pStyle w:val="Détail"/>
        <w:numPr>
          <w:ilvl w:val="0"/>
          <w:numId w:val="3"/>
        </w:numPr>
      </w:pPr>
      <w:r>
        <w:t xml:space="preserve">Hall  0,98m²</w:t>
      </w:r>
    </w:p>
    <w:p>
      <w:pPr>
        <w:pStyle w:val="Détail"/>
        <w:numPr>
          <w:ilvl w:val="0"/>
          <w:numId w:val="3"/>
        </w:numPr>
      </w:pPr>
      <w:r>
        <w:t xml:space="preserve">Salle de bain 2,64m²</w:t>
      </w:r>
    </w:p>
    <w:p>
      <w:pPr>
        <w:pStyle w:val="Détail"/>
        <w:numPr>
          <w:ilvl w:val="0"/>
          <w:numId w:val="3"/>
        </w:numPr>
      </w:pPr>
      <w:r>
        <w:t xml:space="preserve">Séjour 19,50m²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CO2 102,00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20250916-0000727580-01-3</w:t>
      </w:r>
    </w:p>
    <w:p>
      <w:pPr>
        <w:pStyle w:val="Détail"/>
        <w:numPr>
          <w:ilvl w:val="0"/>
          <w:numId w:val="3"/>
        </w:numPr>
      </w:pPr>
      <w:r>
        <w:t xml:space="preserve">Prestation énergétique 506,00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27.011,00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