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"bien-8163.html"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Rez-de-chaussée 1 chambre avec jardin – Quartier du Châtelain,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2286000" cy="3048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2877 B - Idéalement situé dans le prisé quartier du Châtelain à Ixelles, ce charmant rez-de-chaussée de ±55 m² offre un cadre de vie agréable, alliant confort et charme. L’appartement se compose comme suit : Un lumineux séjour avec accès direct à la terrasse et au jardin privatif, parfait pour profiter des beaux jours. Une cuisine équipée ouverte sur la pièce de vie. Une chambre spacieuse à l’arrière, au calme. Une salle de douche avec WC.  PEB : G - Électricité non conforme. Situation exceptionnelle, à deux pas des commerces, restaurants et transports du Châtelain. Idéal pour un investissement ou un premier achat. Infos &amp; Visites CENTURY 21 Boondael 02/660.21.21  OU info@century21boondael.be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275.000 €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Camille Lemonnier, 54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Oui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206 €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3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15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4,27 x 3,75 =  16,01m²</w:t>
      </w:r>
    </w:p>
    <w:p>
      <w:pPr>
        <w:pStyle w:val="Détail"/>
        <w:numPr>
          <w:ilvl w:val="0"/>
          <w:numId w:val="3"/>
        </w:numPr>
      </w:pPr>
      <w:r>
        <w:t xml:space="preserve">Cuisine 2,25 x 1,85 = 7,86m²</w:t>
      </w:r>
    </w:p>
    <w:p>
      <w:pPr>
        <w:pStyle w:val="Détail"/>
        <w:numPr>
          <w:ilvl w:val="0"/>
          <w:numId w:val="3"/>
        </w:numPr>
      </w:pPr>
      <w:r>
        <w:t xml:space="preserve">Hall  2,20 x 1,85 = 4,07m²</w:t>
      </w:r>
    </w:p>
    <w:p>
      <w:pPr>
        <w:pStyle w:val="Détail"/>
        <w:numPr>
          <w:ilvl w:val="0"/>
          <w:numId w:val="3"/>
        </w:numPr>
      </w:pPr>
      <w:r>
        <w:t xml:space="preserve">Salle de bains 2,01 x 1,50 = 3,01m²</w:t>
      </w:r>
    </w:p>
    <w:p>
      <w:pPr>
        <w:pStyle w:val="Détail"/>
        <w:numPr>
          <w:ilvl w:val="0"/>
          <w:numId w:val="3"/>
        </w:numPr>
      </w:pPr>
      <w:r>
        <w:t xml:space="preserve">Séjour 3,46 x 4,25 = 14,70m²</w:t>
      </w:r>
    </w:p>
    <w:p>
      <w:pPr>
        <w:pStyle w:val="Détail"/>
        <w:numPr>
          <w:ilvl w:val="0"/>
          <w:numId w:val="3"/>
        </w:numPr>
      </w:pPr>
      <w:r>
        <w:t xml:space="preserve">WC 1m²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1,41 x 2 = 2,82m²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73,00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20251021-0000731629-01-0</w:t>
      </w:r>
    </w:p>
    <w:p>
      <w:pPr>
        <w:pStyle w:val="Détail"/>
        <w:numPr>
          <w:ilvl w:val="0"/>
          <w:numId w:val="3"/>
        </w:numPr>
      </w:pPr>
      <w:r>
        <w:t xml:space="preserve">Prestation énergétique 377,00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21.298,00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</w:t>
      </w:r>
      <w:r>
        <w:drawing>
          <wp:inline distT="0" distB="0" distL="0" distR="0">
            <wp:extent cx="1600200" cy="2133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133600" cy="16002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133600" cy="16002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600200" cy="21336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600200" cy="21336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2667000" cy="1880235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5"/>
      <w:footerReference w:type="default" r:id="rId00016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5" Type="http://schemas.openxmlformats.org/officeDocument/2006/relationships/header" Target="header0001.xml"/>
	<Relationship Id="rId00016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7" Type="http://schemas.openxmlformats.org/officeDocument/2006/relationships/numbering" Target="numbering.xml"/>
	<Relationship Id="rId00018" Type="http://schemas.openxmlformats.org/officeDocument/2006/relationships/fontTable" Target="fontTable.xml"/>
	<Relationship Id="rId00019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C:\Users\info\CENTURY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