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widowControl w:val="on"/>
        <w:jc w:val="center"/>
        <w:rPr>
          <w:rFonts w:ascii="Century Gothic" w:hAnsi="Century Gothic" w:eastAsia="Century Gothic"/>
          <w:b w:val="on"/>
          <w:color w:val="000000"/>
          <w:sz w:val="32"/>
        </w:rPr>
      </w:pPr>
    </w:p>
    <w:p>
      <w:pPr>
        <w:pStyle w:val="[Normal]"/>
        <w:widowControl w:val="on"/>
        <w:jc w:val="center"/>
        <w:rPr>
          <w:rFonts w:ascii="Bahnschrift SemiLight" w:hAnsi="Bahnschrift SemiLight" w:eastAsia="Bahnschrift SemiLight"/>
          <w:b w:val="on"/>
          <w:color w:val="9B895F"/>
          <w:sz w:val="32"/>
          <w:u w:val="single"/>
        </w:rPr>
      </w:pPr>
      <w:r>
        <w:rPr>
          <w:rFonts w:ascii="Bahnschrift SemiLight" w:hAnsi="Bahnschrift SemiLight" w:eastAsia="Bahnschrift SemiLight"/>
          <w:b w:val="on"/>
          <w:color w:val="9B895F"/>
          <w:sz w:val="32"/>
          <w:u w:val="single"/>
        </w:rPr>
        <w:fldChar w:fldCharType="begin"/>
      </w:r>
      <w:r>
        <w:rPr>
          <w:rFonts w:ascii="Bahnschrift SemiLight" w:hAnsi="Bahnschrift SemiLight" w:eastAsia="Bahnschrift SemiLight"/>
          <w:b w:val="on"/>
          <w:color w:val="9B895F"/>
          <w:sz w:val="32"/>
          <w:u w:val="single"/>
        </w:rPr>
        <w:instrText xml:space="preserve"> HYPERLINK "bien-8250.html" </w:instrText>
      </w:r>
      <w:r>
        <w:rPr>
          <w:rFonts w:ascii="Bahnschrift SemiLight" w:hAnsi="Bahnschrift SemiLight" w:eastAsia="Bahnschrift SemiLight"/>
          <w:b w:val="on"/>
          <w:color w:val="9B895F"/>
          <w:sz w:val="32"/>
          <w:u w:val="single"/>
        </w:rPr>
        <w:fldChar w:fldCharType="separate"/>
      </w:r>
      <w:r>
        <w:rPr>
          <w:rFonts w:ascii="Bahnschrift SemiLight" w:hAnsi="Bahnschrift SemiLight" w:eastAsia="Bahnschrift SemiLight"/>
          <w:b w:val="on"/>
          <w:color w:val="9B895F"/>
          <w:sz w:val="32"/>
          <w:u w:val="single"/>
        </w:rPr>
        <w:t xml:space="preserve">Charmant appartement 2 chambres à Anderlecht – Idéal premier achat ou investissement</w:t>
      </w:r>
    </w:p>
    <w:p>
      <w:pPr>
        <w:pStyle w:val="[Normal]"/>
        <w:widowControl w:val="on"/>
        <w:jc w:val="center"/>
        <w:rPr>
          <w:rFonts w:ascii="Bahnschrift SemiLight" w:hAnsi="Bahnschrift SemiLight" w:eastAsia="Bahnschrift SemiLight"/>
          <w:b w:val="on"/>
          <w:color w:val="000000"/>
          <w:sz w:val="20"/>
        </w:rPr>
      </w:pPr>
      <w:r>
        <w:rPr>
          <w:rFonts w:ascii="Bahnschrift SemiLight" w:hAnsi="Bahnschrift SemiLight" w:eastAsia="Bahnschrift SemiLight"/>
          <w:b w:val="on"/>
          <w:color w:val="000000"/>
          <w:sz w:val="20"/>
        </w:rPr>
        <w:fldChar w:fldCharType="end"/>
      </w:r>
    </w:p>
    <w:p>
      <w:pPr>
        <w:pStyle w:val="[Normal]"/>
        <w:widowControl w:val="on"/>
        <w:jc w:val="center"/>
        <w:rPr>
          <w:rFonts w:ascii="Bahnschrift SemiLight" w:hAnsi="Bahnschrift SemiLight" w:eastAsia="Bahnschrift SemiLight"/>
          <w:b w:val="on"/>
          <w:color w:val="000000"/>
          <w:sz w:val="20"/>
        </w:rPr>
      </w:pPr>
      <w:r>
        <w:drawing>
          <wp:inline distT="0" distB="0" distL="0" distR="0">
            <wp:extent cx="3810000" cy="285750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3810000" cy="2857500"/>
                    </a:xfrm>
                    <a:prstGeom prst="rect">
                      <a:avLst/>
                    </a:prstGeom>
                  </pic:spPr>
                </pic:pic>
              </a:graphicData>
            </a:graphic>
          </wp:inline>
        </w:drawing>
      </w: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Réf 2849 B - Situé au 1er étage d’une petite copropriété sans ascenseur, cet appartement 2 chambres vous séduira par son agencement fonctionnel, sa luminosité et sa proximité immédiate des commodités (transports en commun, commerces, écoles…). Le bien se compose d’un séjour agréable, d’une cuisine équipée, de deux chambres (17m² - 9m²), d’une salle de bains et de WC séparés. Toiture rénovée en 2020, Installation électrique conforme, Faibles charges, PEB : E-, Proximité des transports, axes routiers et commerces. Idéal pour un premier achat ou un investisseur, ce bien ne demande qu’à être personnalisé selon vos goûts ! Une opportunité à ne pas manquer à Anderlecht ! Venez visiter sans tarder. Infos &amp; Visites Century 21 Boondael 02/660.21.21 – 0491/19.73.57 ou info@century21boondael.be</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b w:val="on"/>
          <w:color w:val="000000"/>
          <w:sz w:val="26"/>
        </w:rPr>
      </w:pPr>
      <w:r>
        <w:rPr>
          <w:rFonts w:ascii="Bahnschrift SemiLight" w:hAnsi="Bahnschrift SemiLight" w:eastAsia="Bahnschrift SemiLight"/>
          <w:b w:val="on"/>
          <w:color w:val="000000"/>
          <w:sz w:val="26"/>
        </w:rPr>
        <w:t xml:space="preserve">Infos &amp; Visites Century 21 Boondael 02/660.21.21</w:t>
      </w: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rPr>
        <w:t xml:space="preserve">OU www.century21boondael.be</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b w:val="on"/>
          <w:color w:val="9B895F"/>
          <w:sz w:val="26"/>
          <w:u w:val="double"/>
        </w:rPr>
        <w:t xml:space="preserve">Prix : 215.000 €</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u w:val="single"/>
        </w:rPr>
        <w:t xml:space="preserve">Avenue Nobert Gille, 24 à 1070 Anderlecht</w:t>
      </w: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b w:val="on"/>
          <w:color w:val="000000"/>
          <w:sz w:val="20"/>
        </w:rPr>
      </w:pPr>
    </w:p>
    <w:p>
      <w:pPr>
        <w:pStyle w:val="[Normal]"/>
        <w:widowControl w:val="on"/>
        <w:rPr>
          <w:rFonts w:ascii="Bahnschrift SemiLight" w:hAnsi="Bahnschrift SemiLight" w:eastAsia="Bahnschrift SemiLight"/>
          <w:color w:val="000000"/>
          <w:sz w:val="20"/>
        </w:rPr>
      </w:pPr>
      <w:r>
        <w:rPr>
          <w:rFonts w:ascii="Bahnschrift SemiLight" w:hAnsi="Bahnschrift SemiLight" w:eastAsia="Bahnschrift SemiLight"/>
          <w:b w:val="on"/>
          <w:color w:val="9B895F"/>
        </w:rPr>
        <w:t xml:space="preserve">Informations générales :</w:t>
      </w:r>
    </w:p>
    <w:p>
      <w:pPr>
        <w:pStyle w:val="[Normal]"/>
        <w:widowControl w:val="on"/>
        <w:rPr>
          <w:rFonts w:ascii="Bahnschrift SemiLight" w:hAnsi="Bahnschrift SemiLight" w:eastAsia="Bahnschrift SemiLight"/>
          <w:color w:val="000000"/>
          <w:sz w:val="20"/>
        </w:rPr>
      </w:pP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Affectation du bien : Appartement</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chambre : 2</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salle de bains : 1</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cuisine : Aménagée</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chauffage : Gaz</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Précompte immobilier :  510,49€</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Charges mensuelles : 85 €</w:t>
      </w:r>
    </w:p>
    <w:p>
      <w:pPr>
        <w:pStyle w:val="[Normal]"/>
        <w:widowControl w:val="on"/>
        <w:rPr>
          <w:rFonts w:ascii="Bahnschrift SemiLight" w:hAnsi="Bahnschrift SemiLight" w:eastAsia="Bahnschrift SemiLight"/>
          <w:color w:val="000000"/>
          <w:sz w:val="20"/>
        </w:rPr>
      </w:pPr>
    </w:p>
    <w:p>
      <w:pPr>
        <w:pStyle w:val="[Normal]"/>
        <w:widowControl w:val="on"/>
        <w:rPr>
          <w:rFonts w:ascii="Bahnschrift SemiLight" w:hAnsi="Bahnschrift SemiLight" w:eastAsia="Bahnschrift SemiLight"/>
          <w:color w:val="000000"/>
          <w:sz w:val="20"/>
        </w:rPr>
      </w:pPr>
      <w:r>
        <w:rPr>
          <w:rFonts w:ascii="Bahnschrift SemiLight" w:hAnsi="Bahnschrift SemiLight" w:eastAsia="Bahnschrift SemiLight"/>
          <w:b w:val="on"/>
          <w:color w:val="9B8961"/>
        </w:rPr>
        <w:t xml:space="preserve">Surfaces :</w:t>
      </w:r>
    </w:p>
    <w:p>
      <w:pPr>
        <w:pStyle w:val="[Normal]"/>
        <w:widowControl w:val="on"/>
        <w:rPr>
          <w:rFonts w:ascii="Bahnschrift SemiLight" w:hAnsi="Bahnschrift SemiLight" w:eastAsia="Bahnschrift SemiLight"/>
          <w:color w:val="000000"/>
          <w:sz w:val="20"/>
        </w:rPr>
      </w:pP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habitable : 67 m²</w:t>
      </w:r>
    </w:p>
    <w:p>
      <w:pPr>
        <w:pStyle w:val="[Normal]"/>
        <w:widowControl w:val="on"/>
        <w:rPr>
          <w:rFonts w:ascii="Bahnschrift SemiLight" w:hAnsi="Bahnschrift SemiLight" w:eastAsia="Bahnschrift SemiLight"/>
          <w:color w:val="000000"/>
          <w:sz w:val="20"/>
        </w:rPr>
      </w:pPr>
    </w:p>
    <w:p>
      <w:pPr>
        <w:pStyle w:val="[Normal]"/>
        <w:widowControl w:val="on"/>
        <w:rPr>
          <w:rFonts w:ascii="Bahnschrift SemiLight" w:hAnsi="Bahnschrift SemiLight" w:eastAsia="Bahnschrift SemiLight"/>
          <w:b w:val="on"/>
          <w:color w:val="FFC000"/>
          <w:sz w:val="20"/>
        </w:rPr>
      </w:pPr>
      <w:r>
        <w:rPr>
          <w:rFonts w:ascii="Bahnschrift SemiLight" w:hAnsi="Bahnschrift SemiLight" w:eastAsia="Bahnschrift SemiLight"/>
          <w:b w:val="on"/>
          <w:color w:val="9B895F"/>
        </w:rPr>
        <w:t xml:space="preserve">Détails : </w:t>
      </w:r>
    </w:p>
    <w:p>
      <w:pPr>
        <w:pStyle w:val="[Normal]"/>
        <w:widowControl w:val="on"/>
        <w:rPr>
          <w:rFonts w:ascii="Bahnschrift SemiLight" w:hAnsi="Bahnschrift SemiLight" w:eastAsia="Bahnschrift SemiLight"/>
          <w:b w:val="on"/>
          <w:color w:val="FFC000"/>
          <w:sz w:val="20"/>
        </w:rPr>
      </w:pPr>
    </w:p>
    <w:p>
      <w:pPr>
        <w:pStyle w:val="Type de détail"/>
        <w:tabs>
          <w:tab w:val="left" w:pos="360"/>
          <w:tab w:val="clear" w:pos="15876"/>
        </w:tabs>
      </w:pPr>
      <w:r>
        <w:t xml:space="preserve">1ère étage:</w:t>
      </w:r>
    </w:p>
    <w:p>
      <w:pPr>
        <w:pStyle w:val="Détail"/>
        <w:numPr>
          <w:ilvl w:val="0"/>
          <w:numId w:val="3"/>
        </w:numPr>
      </w:pPr>
      <w:r>
        <w:t xml:space="preserve">Chambre 3,33 x 5,06 = 16,85m² + 2,65 x 3,21 = 8,55m²</w:t>
      </w:r>
    </w:p>
    <w:p>
      <w:pPr>
        <w:pStyle w:val="Détail"/>
        <w:numPr>
          <w:ilvl w:val="0"/>
          <w:numId w:val="3"/>
        </w:numPr>
      </w:pPr>
      <w:r>
        <w:t xml:space="preserve">Cuisine 3,98 x 7,94 = 31,63m²</w:t>
      </w:r>
    </w:p>
    <w:p>
      <w:pPr>
        <w:pStyle w:val="Détail"/>
        <w:numPr>
          <w:ilvl w:val="0"/>
          <w:numId w:val="3"/>
        </w:numPr>
      </w:pPr>
      <w:r>
        <w:t xml:space="preserve">Hall  4,19 x 1,51 = 6,34m²</w:t>
      </w:r>
    </w:p>
    <w:p>
      <w:pPr>
        <w:pStyle w:val="Détail"/>
        <w:numPr>
          <w:ilvl w:val="0"/>
          <w:numId w:val="3"/>
        </w:numPr>
      </w:pPr>
      <w:r>
        <w:t xml:space="preserve">Salle de bains 2,67 x 1,66 = 4,44m²</w:t>
      </w:r>
    </w:p>
    <w:p>
      <w:pPr>
        <w:pStyle w:val="Type de détail"/>
        <w:tabs>
          <w:tab w:val="left" w:pos="360"/>
          <w:tab w:val="clear" w:pos="15876"/>
        </w:tabs>
      </w:pPr>
      <w:r>
        <w:t xml:space="preserve">Sous Sol:</w:t>
      </w:r>
    </w:p>
    <w:p>
      <w:pPr>
        <w:pStyle w:val="Détail"/>
        <w:numPr>
          <w:ilvl w:val="0"/>
          <w:numId w:val="3"/>
        </w:numPr>
      </w:pPr>
      <w:r>
        <w:t xml:space="preserve">Cave n°2</w:t>
      </w:r>
    </w:p>
    <w:p>
      <w:pPr>
        <w:pStyle w:val="Type de détail"/>
        <w:tabs>
          <w:tab w:val="left" w:pos="360"/>
          <w:tab w:val="clear" w:pos="15876"/>
        </w:tabs>
      </w:pPr>
      <w:r>
        <w:t xml:space="preserve">Equipements de Cuisine:</w:t>
      </w:r>
    </w:p>
    <w:p>
      <w:pPr>
        <w:pStyle w:val="Détail"/>
        <w:numPr>
          <w:ilvl w:val="0"/>
          <w:numId w:val="3"/>
        </w:numPr>
      </w:pPr>
      <w:r>
        <w:t xml:space="preserve">Cuisinière vitrocéramique</w:t>
      </w:r>
    </w:p>
    <w:p>
      <w:pPr>
        <w:pStyle w:val="Détail"/>
        <w:numPr>
          <w:ilvl w:val="0"/>
          <w:numId w:val="3"/>
        </w:numPr>
      </w:pPr>
      <w:r>
        <w:t xml:space="preserve">Four</w:t>
      </w:r>
    </w:p>
    <w:p>
      <w:pPr>
        <w:pStyle w:val="Détail"/>
        <w:numPr>
          <w:ilvl w:val="0"/>
          <w:numId w:val="3"/>
        </w:numPr>
      </w:pPr>
      <w:r>
        <w:t xml:space="preserve">Frigo</w:t>
      </w:r>
    </w:p>
    <w:p>
      <w:pPr>
        <w:pStyle w:val="Détail"/>
        <w:numPr>
          <w:ilvl w:val="0"/>
          <w:numId w:val="3"/>
        </w:numPr>
      </w:pPr>
      <w:r>
        <w:t xml:space="preserve">Hotte aspirante</w:t>
      </w:r>
    </w:p>
    <w:p>
      <w:pPr>
        <w:pStyle w:val="Détail"/>
        <w:numPr>
          <w:ilvl w:val="0"/>
          <w:numId w:val="3"/>
        </w:numPr>
      </w:pPr>
      <w:r>
        <w:t xml:space="preserve">Lave linge</w:t>
      </w:r>
    </w:p>
    <w:p>
      <w:pPr>
        <w:pStyle w:val="Type de détail"/>
        <w:tabs>
          <w:tab w:val="left" w:pos="360"/>
          <w:tab w:val="clear" w:pos="15876"/>
        </w:tabs>
      </w:pPr>
      <w:r>
        <w:t xml:space="preserve">Equipements de Cuisine (suite):</w:t>
      </w:r>
    </w:p>
    <w:p>
      <w:pPr>
        <w:pStyle w:val="Détail"/>
        <w:numPr>
          <w:ilvl w:val="0"/>
          <w:numId w:val="3"/>
        </w:numPr>
      </w:pPr>
      <w:r>
        <w:t xml:space="preserve">Meubles de cuisine</w:t>
      </w:r>
    </w:p>
    <w:p>
      <w:pPr>
        <w:pStyle w:val="Détail"/>
        <w:numPr>
          <w:ilvl w:val="0"/>
          <w:numId w:val="3"/>
        </w:numPr>
      </w:pPr>
      <w:r>
        <w:t xml:space="preserve">Evier</w:t>
      </w:r>
    </w:p>
    <w:p>
      <w:pPr>
        <w:pStyle w:val="Type de détail"/>
        <w:tabs>
          <w:tab w:val="left" w:pos="360"/>
          <w:tab w:val="clear" w:pos="15876"/>
        </w:tabs>
      </w:pPr>
      <w:r>
        <w:t xml:space="preserve">Equipements Electrique:</w:t>
      </w:r>
    </w:p>
    <w:p>
      <w:pPr>
        <w:pStyle w:val="Détail"/>
        <w:numPr>
          <w:ilvl w:val="0"/>
          <w:numId w:val="3"/>
        </w:numPr>
      </w:pPr>
      <w:r>
        <w:t xml:space="preserve">Interphone</w:t>
      </w:r>
    </w:p>
    <w:p>
      <w:pPr>
        <w:pStyle w:val="Détail"/>
        <w:numPr>
          <w:ilvl w:val="0"/>
          <w:numId w:val="3"/>
        </w:numPr>
      </w:pPr>
      <w:r>
        <w:t xml:space="preserve">Thermostat</w:t>
      </w:r>
    </w:p>
    <w:p>
      <w:pPr>
        <w:pStyle w:val="Type de détail"/>
        <w:tabs>
          <w:tab w:val="left" w:pos="360"/>
          <w:tab w:val="clear" w:pos="15876"/>
        </w:tabs>
      </w:pPr>
      <w:r>
        <w:t xml:space="preserve">Equipements divers:</w:t>
      </w:r>
    </w:p>
    <w:p>
      <w:pPr>
        <w:pStyle w:val="Détail"/>
        <w:numPr>
          <w:ilvl w:val="0"/>
          <w:numId w:val="3"/>
        </w:numPr>
      </w:pPr>
      <w:r>
        <w:t xml:space="preserve">Double vitrage</w:t>
      </w:r>
    </w:p>
    <w:p>
      <w:pPr>
        <w:pStyle w:val="Type de détail"/>
        <w:tabs>
          <w:tab w:val="left" w:pos="360"/>
          <w:tab w:val="clear" w:pos="15876"/>
        </w:tabs>
      </w:pPr>
      <w:r>
        <w:t xml:space="preserve">Fenêtres:</w:t>
      </w:r>
    </w:p>
    <w:p>
      <w:pPr>
        <w:pStyle w:val="Détail"/>
        <w:numPr>
          <w:ilvl w:val="0"/>
          <w:numId w:val="3"/>
        </w:numPr>
      </w:pPr>
      <w:r>
        <w:t xml:space="preserve">PVC</w:t>
      </w:r>
    </w:p>
    <w:p>
      <w:pPr>
        <w:pStyle w:val="Type de détail"/>
        <w:tabs>
          <w:tab w:val="left" w:pos="360"/>
          <w:tab w:val="clear" w:pos="15876"/>
        </w:tabs>
      </w:pPr>
      <w:r>
        <w:t xml:space="preserve">Certifications:</w:t>
      </w:r>
    </w:p>
    <w:p>
      <w:pPr>
        <w:pStyle w:val="Détail"/>
        <w:numPr>
          <w:ilvl w:val="0"/>
          <w:numId w:val="3"/>
        </w:numPr>
      </w:pPr>
      <w:r>
        <w:t xml:space="preserve">Emissions CO2</w:t>
      </w:r>
    </w:p>
    <w:p>
      <w:pPr>
        <w:pStyle w:val="Détail"/>
        <w:numPr>
          <w:ilvl w:val="0"/>
          <w:numId w:val="3"/>
        </w:numPr>
      </w:pPr>
      <w:r>
        <w:t xml:space="preserve">Numéro de certificat PEB</w:t>
      </w:r>
    </w:p>
    <w:p>
      <w:pPr>
        <w:pStyle w:val="Détail"/>
        <w:numPr>
          <w:ilvl w:val="0"/>
          <w:numId w:val="3"/>
        </w:numPr>
      </w:pPr>
      <w:r>
        <w:t xml:space="preserve">Prestation énergétique</w:t>
      </w:r>
    </w:p>
    <w:p>
      <w:pPr>
        <w:pStyle w:val="Détail"/>
        <w:numPr>
          <w:ilvl w:val="0"/>
          <w:numId w:val="3"/>
        </w:numPr>
      </w:pPr>
      <w:r>
        <w:t xml:space="preserve">Total énergie primaire</w:t>
      </w:r>
    </w:p>
    <w:p>
      <w:pPr>
        <w:pStyle w:val="[Normal]"/>
        <w:widowControl w:val="on"/>
        <w:rPr>
          <w:rFonts w:ascii="Bahnschrift SemiLight" w:hAnsi="Bahnschrift SemiLight" w:eastAsia="Bahnschrift SemiLight"/>
          <w:b w:val="on"/>
          <w:color w:val="000000"/>
          <w:sz w:val="20"/>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rPr>
          <w:rFonts w:ascii="Bahnschrift SemiLight" w:hAnsi="Bahnschrift SemiLight" w:eastAsia="Bahnschrift SemiLight"/>
          <w:b w:val="on"/>
          <w:color w:val="9B895F"/>
        </w:rPr>
        <w:t xml:space="preserve">Photos :</w:t>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667000" cy="200025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667000" cy="200025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667000" cy="200025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667000" cy="200025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000250" cy="266700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000250" cy="26670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667000" cy="200025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667000" cy="200025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667000" cy="200025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667000" cy="200025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667000" cy="200025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667000" cy="200025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000250" cy="26670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2000250" cy="26670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000250" cy="2667000"/>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2000250" cy="26670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667000" cy="1880235"/>
            <wp:docPr id="11" name="_tx_id_11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2667000" cy="1880235"/>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sectPr>
      <w:headerReference w:type="default" r:id="rId00016"/>
      <w:footerReference w:type="default" r:id="rId00017"/>
      <w:pgSz w:w="11906" w:h="16837"/>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 w:name="Bahnschrift SemiBold">
    <w:charset w:val="00"/>
    <w:family w:val="swiss"/>
    <w:pitch w:val="variable"/>
  </w:font>
  <w:font w:name="Bahnschrift SemiLight">
    <w:charset w:val="00"/>
    <w:family w:val="swiss"/>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9638"/>
    </w:tblGrid>
    <w:tr>
      <w:tc>
        <w:tcPr>
          <w:tcW w:w="9638" w:type="dxa"/>
          <w:shd w:val="clear" w:fill="FFFFFF"/>
          <w:vAlign w:val="top"/>
        </w:tcPr>
        <w:p>
          <w:pPr>
            <w:pStyle w:val="[Normal]"/>
            <w:widowControl w:val="on"/>
            <w:tabs>
              <w:tab w:val="left" w:pos="9637"/>
              <w:tab w:val="left" w:pos="9637"/>
              <w:tab w:val="left" w:pos="17010"/>
              <w:tab w:val="clear" w:pos="10206"/>
              <w:tab w:val="clear" w:pos="11340"/>
              <w:tab w:val="clear" w:pos="12474"/>
            </w:tabs>
            <w:jc w:val="center"/>
            <w:rPr>
              <w:rFonts w:ascii="Bahnschrift SemiLight" w:hAnsi="Bahnschrift SemiLight" w:eastAsia="Bahnschrift SemiLight"/>
              <w:sz w:val="20"/>
            </w:rPr>
          </w:pPr>
          <w:r>
            <w:rPr>
              <w:rFonts w:ascii="Bahnschrift SemiLight" w:hAnsi="Bahnschrift SemiLight" w:eastAsia="Bahnschrift SemiLight"/>
              <w:sz w:val="20"/>
            </w:rPr>
            <w:t xml:space="preserve">Century 21 Boondael  Tél : 02 660 21 21 Site web :  www.century21.be</w:t>
          </w:r>
        </w:p>
        <w:p>
          <w:pPr>
            <w:pStyle w:val="[Normal]"/>
            <w:widowControl w:val="on"/>
            <w:tabs>
              <w:tab w:val="left" w:pos="9637"/>
              <w:tab w:val="left" w:pos="9637"/>
              <w:tab w:val="left" w:pos="17010"/>
              <w:tab w:val="clear" w:pos="10206"/>
              <w:tab w:val="clear" w:pos="11340"/>
              <w:tab w:val="clear" w:pos="12474"/>
            </w:tabs>
            <w:jc w:val="center"/>
            <w:rPr>
              <w:rFonts w:ascii="Bahnschrift SemiLight" w:hAnsi="Bahnschrift SemiLight" w:eastAsia="Bahnschrift SemiLight"/>
              <w:color w:val="FFFFFF"/>
              <w:sz w:val="20"/>
              <w:shd w:val="clear" w:fill="000000"/>
            </w:rPr>
          </w:pPr>
          <w:r>
            <w:rPr>
              <w:rFonts w:ascii="Bahnschrift SemiLight" w:hAnsi="Bahnschrift SemiLight" w:eastAsia="Bahnschrift SemiLight"/>
              <w:sz w:val="20"/>
            </w:rPr>
            <w:t xml:space="preserve">Email : info@century21boondael.be</w:t>
          </w:r>
        </w:p>
      </w:tc>
    </w:tr>
  </w:tbl>
  <w:p>
    <w:pPr>
      <w:pStyle w:val="[Normal]"/>
      <w:widowControl w:val="on"/>
      <w:tabs>
        <w:tab w:val="left" w:pos="9637"/>
        <w:tab w:val="left" w:pos="9637"/>
        <w:tab w:val="left" w:pos="17010"/>
        <w:tab w:val="clear" w:pos="10206"/>
        <w:tab w:val="clear" w:pos="11340"/>
        <w:tab w:val="clear" w:pos="12474"/>
      </w:tabs>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Chaque agence est juridiquement et financièrement indépendante.</w:t>
    </w:r>
  </w:p>
  <w:p>
    <w:pPr>
      <w:pStyle w:val="[Normal]"/>
      <w:widowControl w:val="on"/>
      <w:tabs>
        <w:tab w:val="left" w:pos="9637"/>
        <w:tab w:val="left" w:pos="9637"/>
        <w:tab w:val="left" w:pos="17010"/>
        <w:tab w:val="clear" w:pos="10206"/>
        <w:tab w:val="clear" w:pos="11340"/>
        <w:tab w:val="clear" w:pos="12474"/>
      </w:tabs>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Ce document est remis à titre informatif et non contractuel.</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4801"/>
      <w:gridCol w:w="4801"/>
    </w:tblGrid>
    <w:tr>
      <w:tc>
        <w:tcPr>
          <w:tcW w:w="4801" w:type="dxa"/>
          <w:shd w:val="clear" w:fill="auto"/>
          <w:vAlign w:val="top"/>
        </w:tcPr>
        <w:p>
          <w:pPr>
            <w:pStyle w:val="[Normal]"/>
            <w:widowControl w:val="on"/>
            <w:tabs>
              <w:tab w:val="left" w:pos="9637"/>
              <w:tab w:val="left" w:pos="9637"/>
              <w:tab w:val="left" w:pos="17010"/>
              <w:tab w:val="clear" w:pos="10206"/>
              <w:tab w:val="clear" w:pos="11340"/>
              <w:tab w:val="clear" w:pos="12474"/>
            </w:tabs>
            <w:rPr>
              <w:rFonts w:ascii="Trebuchet MS" w:hAnsi="Trebuchet MS" w:eastAsia="Trebuchet MS"/>
              <w:sz w:val="20"/>
            </w:rPr>
          </w:pPr>
          <w:r>
            <w:drawing>
              <wp:anchor distT="0" distB="0" distL="0" distR="0" simplePos="0" relativeHeight="1000000" behindDoc="0" locked="0" layoutInCell="1" allowOverlap="1" hidden="false">
                <wp:simplePos x="0" y="0"/>
                <wp:positionH relativeFrom="column">
                  <wp:align>left</wp:align>
                </wp:positionH>
                <wp:positionV relativeFrom="paragraph">
                  <wp:posOffset>0</wp:posOffset>
                </wp:positionV>
                <wp:extent cx="1866900" cy="1314450"/>
                <wp:wrapSquare wrapText="bothSides"/>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866900" cy="1314450"/>
                        </a:xfrm>
                        <a:prstGeom prst="rect">
                          <a:avLst/>
                        </a:prstGeom>
                      </pic:spPr>
                    </pic:pic>
                  </a:graphicData>
                </a:graphic>
              </wp:anchor>
            </w:drawing>
          </w:r>
        </w:p>
      </w:tc>
      <w:tc>
        <w:tcPr>
          <w:tcW w:w="4801" w:type="dxa"/>
          <w:shd w:val="clear" w:fill="auto"/>
          <w:vAlign w:val="top"/>
        </w:tcPr>
        <w:p>
          <w:pPr>
            <w:pStyle w:val="[Normal]"/>
            <w:widowControl w:val="on"/>
            <w:tabs>
              <w:tab w:val="left" w:pos="9637"/>
              <w:tab w:val="left" w:pos="9637"/>
              <w:tab w:val="left" w:pos="17010"/>
              <w:tab w:val="clear" w:pos="10206"/>
              <w:tab w:val="clear" w:pos="11340"/>
              <w:tab w:val="clear" w:pos="12474"/>
            </w:tabs>
            <w:jc w:val="right"/>
            <w:rPr>
              <w:rFonts w:ascii="Trebuchet MS" w:hAnsi="Trebuchet MS" w:eastAsia="Trebuchet MS"/>
              <w:sz w:val="20"/>
            </w:rPr>
          </w:pPr>
          <w:r>
            <w:rPr>
              <w:rFonts w:ascii="Trebuchet MS" w:hAnsi="Trebuchet MS" w:eastAsia="Trebuchet MS"/>
              <w:sz w:val="20"/>
            </w:rPr>
            <w:t xml:space="preserve">  </w:t>
          </w:r>
        </w:p>
      </w:tc>
    </w:tr>
  </w:tbl>
  <w:p>
    <w:pPr>
      <w:pStyle w:val="[Normal]"/>
      <w:widowControl w:val="on"/>
      <w:tabs>
        <w:tab w:val="left" w:pos="9637"/>
        <w:tab w:val="left" w:pos="9637"/>
        <w:tab w:val="left" w:pos="17010"/>
        <w:tab w:val="clear" w:pos="10206"/>
        <w:tab w:val="clear" w:pos="11340"/>
        <w:tab w:val="clear" w:pos="12474"/>
      </w:tabs>
      <w:rPr>
        <w:rFonts w:ascii="Bahnschrift SemiBold" w:hAnsi="Bahnschrift SemiBold" w:eastAsia="Bahnschrift SemiBold"/>
        <w:sz w:val="20"/>
      </w:rPr>
    </w:pPr>
    <w:r>
      <w:rPr>
        <w:rFonts w:ascii="Bahnschrift SemiBold" w:hAnsi="Bahnschrift SemiBold" w:eastAsia="Bahnschrift SemiBold"/>
        <w:sz w:val="20"/>
      </w:rPr>
      <w:t xml:space="preserve">Avenue des Saisons, 42 à 1050 Ixelles                                                                                                </w:t>
    </w:r>
  </w:p>
  <w:p>
    <w:pPr>
      <w:pStyle w:val="[Normal]"/>
      <w:widowControl w:val="on"/>
      <w:tabs>
        <w:tab w:val="left" w:pos="9637"/>
        <w:tab w:val="left" w:pos="9637"/>
        <w:tab w:val="left" w:pos="17010"/>
        <w:tab w:val="clear" w:pos="10206"/>
        <w:tab w:val="clear" w:pos="11340"/>
        <w:tab w:val="clear" w:pos="12474"/>
      </w:tabs>
      <w:rPr>
        <w:rFonts w:ascii="Bahnschrift SemiBold" w:hAnsi="Bahnschrift SemiBold" w:eastAsia="Bahnschrift SemiBold"/>
        <w:sz w:val="20"/>
      </w:rPr>
    </w:pPr>
    <w:r>
      <w:rPr>
        <w:rFonts w:ascii="Bahnschrift SemiBold" w:hAnsi="Bahnschrift SemiBold" w:eastAsia="Bahnschrift SemiBold"/>
        <w:sz w:val="20"/>
      </w:rPr>
      <w:t xml:space="preserve">02/660.21.21                                                                                                                                                                 </w:t>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000000"/>
        <w:position w:val="0"/>
        <w:sz w:val="20"/>
        <w:u w:val="none"/>
        <w:shd w:val="clear" w:fill="auto"/>
      </w:rPr>
    </w:lvl>
  </w:abstractNum>
  <w:abstractNum w:abstractNumId="2">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w:bordersDoNotSurroundHeader/>
  <w:bordersDoNotSurroundFooter/>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Détail">
    <w:name w:val="Détail"/>
    <w:basedOn w:val="[Normal]"/>
    <w:next w:val="Détail"/>
    <w:qFormat/>
    <w:pPr>
      <w:widowControl w:val="on"/>
      <w:numPr>
        <w:ilvl w:val="0"/>
        <w:numId w:val="1"/>
      </w:numPr>
      <w:tabs>
        <w:tab w:val="left" w:pos="360"/>
        <w:tab w:val="clear" w:pos="15876"/>
      </w:tabs>
      <w:ind w:left="360" w:hanging="360"/>
    </w:pPr>
    <w:rPr>
      <w:sz w:val="20"/>
    </w:rPr>
  </w:style>
  <w:style w:type="paragraph" w:styleId="Type de détail">
    <w:name w:val="Type de détail"/>
    <w:basedOn w:val="Détail"/>
    <w:next w:val="Type de détail"/>
    <w:qFormat/>
    <w:pPr>
      <w:numPr>
        <w:ilvl w:val="0"/>
        <w:numId w:val="0"/>
      </w:numPr>
      <w:tabs>
        <w:tab w:val="left" w:pos="15876"/>
        <w:tab w:val="clear" w:pos="360"/>
      </w:tabs>
    </w:pPr>
    <w:rPr>
      <w:b w:val="on"/>
    </w:rPr>
  </w:style>
  <w:style w:type="paragraph" w:styleId="Titre1">
    <w:name w:val="Titre1"/>
    <w:basedOn w:val="[Normal]"/>
    <w:next w:val="Titre1"/>
    <w:qFormat/>
    <w:pPr>
      <w:widowControl w:val="on"/>
    </w:pPr>
    <w:rPr>
      <w:b w:val="on"/>
      <w:sz w:val="28"/>
    </w:rPr>
  </w:style>
  <w:style w:type="paragraph" w:styleId="TEST">
    <w:name w:val="TEST"/>
    <w:basedOn w:val="[Normal]"/>
    <w:next w:val="TEST"/>
    <w:qFormat/>
    <w:pPr>
      <w:widowControl w:val="on"/>
    </w:pPr>
    <w:rPr>
      <w:sz w:val="16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6" Type="http://schemas.openxmlformats.org/officeDocument/2006/relationships/header" Target="header0001.xml"/>
	<Relationship Id="rId00017"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8" Type="http://schemas.openxmlformats.org/officeDocument/2006/relationships/numbering" Target="numbering.xml"/>
	<Relationship Id="rId00019" Type="http://schemas.openxmlformats.org/officeDocument/2006/relationships/fontTable" Target="fontTable.xml"/>
	<Relationship Id="rId00020"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HyperlinkBase>C:\Users\info\CENTURY 21 Boondael\Century 21 Boondael - Documents\Activimmo\</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