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"http:///bien-8250.html"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Charmant appartement 2 chambres à Anderlecht – Idéal premier achat ou investissement</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810000" cy="28575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810000" cy="2857500"/>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Situé au 1er étage d’une petite copropriété sans ascenseur, cet appartement 2 chambres vous séduira par son agencement fonctionnel, sa luminosité et sa proximité immédiate des commodités (transports en commun, commerces, écoles…). Le bien se compose d’un séjour agréable, d’une cuisine équipée, de deux chambres (17m² - 9m²), d’une salle de bains et de WC séparés. Toiture rénovée en 2020, Installation électrique conforme, Faibles charges, PEB : E-, Proximité des transports, axes routiers et commerces. Idéal pour un premier achat ou un investisseur, ce bien ne demande qu’à être personnalisé selon vos goûts ! Une opportunité à ne pas manquer à Anderlecht ! Venez visiter sans tarder. Infos &amp; Visites Century 21 Boondael 02/660.21.21 – 0491/19.73.57 ou info@century21boondael.be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220.000 €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Avenue Nobert Gille, 24 à 1070 Anderlecht</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85 €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67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1ère étage:</w:t>
      </w:r>
    </w:p>
    <w:p>
      <w:pPr>
        <w:pStyle w:val="Détail"/>
        <w:numPr>
          <w:ilvl w:val="0"/>
          <w:numId w:val="3"/>
        </w:numPr>
      </w:pPr>
      <w:r>
        <w:t xml:space="preserve">Chambre 3,33 x 5,06 = 16,85m² + 2,65 x 3,21 = 8,55m²</w:t>
      </w:r>
    </w:p>
    <w:p>
      <w:pPr>
        <w:pStyle w:val="Détail"/>
        <w:numPr>
          <w:ilvl w:val="0"/>
          <w:numId w:val="3"/>
        </w:numPr>
      </w:pPr>
      <w:r>
        <w:t xml:space="preserve">Cuisine 3,98 x 7,94 = 31,63m²</w:t>
      </w:r>
    </w:p>
    <w:p>
      <w:pPr>
        <w:pStyle w:val="Détail"/>
        <w:numPr>
          <w:ilvl w:val="0"/>
          <w:numId w:val="3"/>
        </w:numPr>
      </w:pPr>
      <w:r>
        <w:t xml:space="preserve">Hall  4,19 x 1,51 = 6,34m²</w:t>
      </w:r>
    </w:p>
    <w:p>
      <w:pPr>
        <w:pStyle w:val="Détail"/>
        <w:numPr>
          <w:ilvl w:val="0"/>
          <w:numId w:val="3"/>
        </w:numPr>
      </w:pPr>
      <w:r>
        <w:t xml:space="preserve">Salle de bains 2,67 x 1,66 = 4,44m²</w:t>
      </w:r>
    </w:p>
    <w:p>
      <w:pPr>
        <w:pStyle w:val="Type de détail"/>
      </w:pPr>
      <w:r>
        <w:t xml:space="preserve">Sous Sol:</w:t>
      </w:r>
    </w:p>
    <w:p>
      <w:pPr>
        <w:pStyle w:val="Détail"/>
        <w:numPr>
          <w:ilvl w:val="0"/>
          <w:numId w:val="3"/>
        </w:numPr>
      </w:pPr>
      <w:r>
        <w:t xml:space="preserve">Cave n°2</w:t>
      </w:r>
    </w:p>
    <w:p>
      <w:pPr>
        <w:pStyle w:val="Type de détail"/>
      </w:pPr>
      <w:r>
        <w:t xml:space="preserve">Equipements de Cuisine:</w:t>
      </w:r>
    </w:p>
    <w:p>
      <w:pPr>
        <w:pStyle w:val="Détail"/>
        <w:numPr>
          <w:ilvl w:val="0"/>
          <w:numId w:val="3"/>
        </w:numPr>
      </w:pPr>
      <w:r>
        <w:t xml:space="preserve">Cuisinière vitrocéramique</w:t>
      </w:r>
    </w:p>
    <w:p>
      <w:pPr>
        <w:pStyle w:val="Détail"/>
        <w:numPr>
          <w:ilvl w:val="0"/>
          <w:numId w:val="3"/>
        </w:numPr>
      </w:pPr>
      <w:r>
        <w:t xml:space="preserve">Four</w:t>
      </w:r>
    </w:p>
    <w:p>
      <w:pPr>
        <w:pStyle w:val="Détail"/>
        <w:numPr>
          <w:ilvl w:val="0"/>
          <w:numId w:val="3"/>
        </w:numPr>
      </w:pPr>
      <w:r>
        <w:t xml:space="preserve">Frigo</w:t>
      </w:r>
    </w:p>
    <w:p>
      <w:pPr>
        <w:pStyle w:val="Détail"/>
        <w:numPr>
          <w:ilvl w:val="0"/>
          <w:numId w:val="3"/>
        </w:numPr>
      </w:pPr>
      <w:r>
        <w:t xml:space="preserve">Hotte aspirante</w:t>
      </w:r>
    </w:p>
    <w:p>
      <w:pPr>
        <w:pStyle w:val="Détail"/>
        <w:numPr>
          <w:ilvl w:val="0"/>
          <w:numId w:val="3"/>
        </w:numPr>
      </w:pPr>
      <w:r>
        <w:t xml:space="preserve">Lave linge</w:t>
      </w:r>
    </w:p>
    <w:p>
      <w:pPr>
        <w:pStyle w:val="Type de détail"/>
      </w:pPr>
      <w:r>
        <w:t xml:space="preserve">Equipements de Cuisine (suite):</w:t>
      </w:r>
    </w:p>
    <w:p>
      <w:pPr>
        <w:pStyle w:val="Détail"/>
        <w:numPr>
          <w:ilvl w:val="0"/>
          <w:numId w:val="3"/>
        </w:numPr>
      </w:pPr>
      <w:r>
        <w:t xml:space="preserve">Meubles de cuisine</w:t>
      </w:r>
    </w:p>
    <w:p>
      <w:pPr>
        <w:pStyle w:val="Détail"/>
        <w:numPr>
          <w:ilvl w:val="0"/>
          <w:numId w:val="3"/>
        </w:numPr>
      </w:pPr>
      <w:r>
        <w:t xml:space="preserve">Evier</w:t>
      </w:r>
    </w:p>
    <w:p>
      <w:pPr>
        <w:pStyle w:val="Type de détail"/>
      </w:pPr>
      <w:r>
        <w:t xml:space="preserve">Equipements Electrique:</w:t>
      </w:r>
    </w:p>
    <w:p>
      <w:pPr>
        <w:pStyle w:val="Détail"/>
        <w:numPr>
          <w:ilvl w:val="0"/>
          <w:numId w:val="3"/>
        </w:numPr>
      </w:pPr>
      <w:r>
        <w:t xml:space="preserve">Interphone</w:t>
      </w:r>
    </w:p>
    <w:p>
      <w:pPr>
        <w:pStyle w:val="Détail"/>
        <w:numPr>
          <w:ilvl w:val="0"/>
          <w:numId w:val="3"/>
        </w:numPr>
      </w:pPr>
      <w:r>
        <w:t xml:space="preserve">Thermostat</w:t>
      </w:r>
    </w:p>
    <w:p>
      <w:pPr>
        <w:pStyle w:val="Type de détail"/>
      </w:pPr>
      <w:r>
        <w:t xml:space="preserve">Equipements divers:</w:t>
      </w:r>
    </w:p>
    <w:p>
      <w:pPr>
        <w:pStyle w:val="Détail"/>
        <w:numPr>
          <w:ilvl w:val="0"/>
          <w:numId w:val="3"/>
        </w:numPr>
      </w:pPr>
      <w:r>
        <w:t xml:space="preserve">Double vitrage</w:t>
      </w:r>
    </w:p>
    <w:p>
      <w:pPr>
        <w:pStyle w:val="Type de détail"/>
      </w:pPr>
      <w:r>
        <w:t xml:space="preserve">Fenêtres:</w:t>
      </w:r>
    </w:p>
    <w:p>
      <w:pPr>
        <w:pStyle w:val="Détail"/>
        <w:numPr>
          <w:ilvl w:val="0"/>
          <w:numId w:val="3"/>
        </w:numPr>
      </w:pPr>
      <w:r>
        <w:t xml:space="preserve">PVC</w:t>
      </w:r>
    </w:p>
    <w:p>
      <w:pPr>
        <w:pStyle w:val="Type de détail"/>
      </w:pPr>
      <w:r>
        <w:t xml:space="preserve">Certifications:</w:t>
      </w:r>
    </w:p>
    <w:p>
      <w:pPr>
        <w:pStyle w:val="Détail"/>
        <w:numPr>
          <w:ilvl w:val="0"/>
          <w:numId w:val="3"/>
        </w:numPr>
      </w:pPr>
      <w:r>
        <w:t xml:space="preserve">Emissions CO2</w:t>
      </w:r>
    </w:p>
    <w:p>
      <w:pPr>
        <w:pStyle w:val="Détail"/>
        <w:numPr>
          <w:ilvl w:val="0"/>
          <w:numId w:val="3"/>
        </w:numPr>
      </w:pPr>
      <w:r>
        <w:t xml:space="preserve">Numéro de certificat PEB</w:t>
      </w:r>
    </w:p>
    <w:p>
      <w:pPr>
        <w:pStyle w:val="Détail"/>
        <w:numPr>
          <w:ilvl w:val="0"/>
          <w:numId w:val="3"/>
        </w:numPr>
      </w:pPr>
      <w:r>
        <w:t xml:space="preserve">Prestation énergétique</w:t>
      </w:r>
    </w:p>
    <w:p>
      <w:pPr>
        <w:pStyle w:val="Détail"/>
        <w:numPr>
          <w:ilvl w:val="0"/>
          <w:numId w:val="3"/>
        </w:numPr>
      </w:pPr>
      <w:r>
        <w:t xml:space="preserve">Total énergie primaire</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