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"http:///bien-8169.html"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PEB = B- Quartier ULB Cambre/Roosevelt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048000" cy="2286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2827 B) : Superbe appartement à rafraîchir - PEB = 105 m² - 2 grandes chambres - 2 débarras encastrés - vaste hall d'entrée en parquet massif &amp; magnifique salon en parquet massif - très grande cuisine semi-équipée - terrasse avant et terrasse arrière. Une chambre de bonne au rez et une cave comprise. POSSIBILITE D'ACQUERIR UN ou PLUSIEURS PARKINGS au sous-sol sécurisé en suppl. PEB = B-. RU disponibles sur simple demande auprès de l'agence immobilière. Provisions de charges pour APPART &amp; CH DE BONNE (eau, chauffage, commun : +/- 295€/mois). Infos &amp; Visites Century 21 Boondael : 02/660.212.21 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399.000 €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de la Forêt, 6 à 1050 Ixelles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2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Parking : 1 (sous-sol)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2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 ouest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Equipée et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1964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 +/- 290€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105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 10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24,00 Kg Co2m²an</w:t>
      </w:r>
    </w:p>
    <w:p>
      <w:pPr>
        <w:pStyle w:val="Détail"/>
        <w:numPr>
          <w:ilvl w:val="0"/>
          <w:numId w:val="3"/>
        </w:numPr>
      </w:pPr>
      <w:r>
        <w:t xml:space="preserve">Prestation énergétique 95,00 Kwh</w:t>
      </w:r>
    </w:p>
    <w:p>
      <w:pPr>
        <w:pStyle w:val="Type de détail"/>
      </w:pPr>
      <w:r>
        <w:t xml:space="preserve">Certifications (suite):</w:t>
      </w:r>
    </w:p>
    <w:p>
      <w:pPr>
        <w:pStyle w:val="Détail"/>
        <w:numPr>
          <w:ilvl w:val="0"/>
          <w:numId w:val="3"/>
        </w:numPr>
      </w:pPr>
      <w:r>
        <w:t xml:space="preserve">Total énergie primaire 9.993,00 kwh/an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2438400" cy="18288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24384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2438400" cy="18288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2438400" cy="18288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2438400" cy="18288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2438400" cy="18288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2438400" cy="18288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2438400" cy="18288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2438400" cy="18288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211455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2362200" cy="2114550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7"/>
      <w:footerReference w:type="default" r:id="rId00028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02 660 21 21 Site web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p/*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7" Type="http://schemas.openxmlformats.org/officeDocument/2006/relationships/header" Target="header0001.xml"/>
	<Relationship Id="rId00028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9" Type="http://schemas.openxmlformats.org/officeDocument/2006/relationships/numbering" Target="numbering.xml"/>
	<Relationship Id="rId00030" Type="http://schemas.openxmlformats.org/officeDocument/2006/relationships/fontTable" Target="fontTable.xml"/>
	<Relationship Id="rId00031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