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</w:rPr>
      </w:pPr>
      <w:r>
        <w:rPr>
          <w:rFonts w:ascii="Calibri" w:hAnsi="Calibri" w:eastAsia="Calibri"/>
          <w:color w:val="002060"/>
          <w:sz w:val="24"/>
        </w:rPr>
        <w:t xml:space="preserve">Bindra SHARMA - </w:t>
      </w:r>
      <w:r>
        <w:rPr>
          <w:rFonts w:ascii="Calibri" w:hAnsi="Calibri" w:eastAsia="Calibri"/>
          <w:color w:val="0A2F41"/>
          <w:sz w:val="24"/>
        </w:rPr>
        <w:t xml:space="preserve">SODEXIMMO</w:t>
      </w:r>
      <w:r>
        <w:rPr>
          <w:rFonts w:ascii="Calibri" w:hAnsi="Calibri" w:eastAsia="Calibri"/>
          <w:color w:val="002060"/>
          <w:sz w:val="24"/>
        </w:rPr>
        <w:t xml:space="preserve"> &amp; CO SRL 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</w:rPr>
      </w:pPr>
      <w:r>
        <w:rPr>
          <w:rFonts w:ascii="Calibri" w:hAnsi="Calibri" w:eastAsia="Calibri"/>
          <w:color w:val="002060"/>
          <w:sz w:val="24"/>
        </w:rPr>
        <w:t xml:space="preserve">Bd du Souverain, 138 bte 33 – 1170 Bruxelles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</w:rPr>
      </w:pPr>
      <w:r>
        <w:rPr>
          <w:rFonts w:ascii="Calibri" w:hAnsi="Calibri" w:eastAsia="Calibri"/>
          <w:color w:val="002060"/>
          <w:sz w:val="24"/>
        </w:rPr>
        <w:t xml:space="preserve">T : 02/649.80.10.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</w:rPr>
      </w:pPr>
      <w:r>
        <w:rPr>
          <w:rFonts w:ascii="Calibri" w:hAnsi="Calibri" w:eastAsia="Calibri"/>
          <w:color w:val="002060"/>
          <w:sz w:val="24"/>
        </w:rPr>
        <w:t xml:space="preserve">RC AXA n° 730.390.160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</w:rPr>
      </w:pPr>
      <w:r>
        <w:rPr>
          <w:rFonts w:ascii="Calibri" w:hAnsi="Calibri" w:eastAsia="Calibri"/>
          <w:color w:val="002060"/>
          <w:sz w:val="24"/>
        </w:rPr>
        <w:t xml:space="preserve">BCE n° 0702.750.944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22/08/25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Pierre &amp; Marie Curie, 15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Pierre &amp; Marie Curie, 15 - Studio B0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JEAN-GABRIEL KILICOGLU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