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WAVE IMMO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Rue de la Vignette,  179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à1160 Auderghem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02/375.02.07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12 août 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Général Médecin Derache, 13-15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Général Médecin Derache, 13-15 (Garage)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Jeanine Ekelmans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