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"bien-8064.html"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À vendre – Magnifique maison unifamiliale avec studio et triplex – Quartier Flagey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 2773 B - Située dans le très recherché quartier Flagey, cette belle maison unifamiliale 2 façades en bon état général est actuellement divisée en deux unités : Un studio au rez-de-chaussée avec terrasse, Un triplex occupant les étages supérieurs. Composition de la maison : Rez-de-chaussée : Hall d’entrée, accès au studio composé de 3 pièces en enfilade, cuisine ouverte sur séjour, chambre, salle de bain avec buanderie et accès à une cour de 9 m², 1er étage : Spacieuse salle à manger avec cuisine ouverte, 2e étage : Grand séjour lumineux de 20 m², Combles aménagés : Une chambre de 13 m², Sous-sol : Grandes caves, Chauffage central au gaz, Châssis double vitrage, Toiture en excellent état, Bien actuellement loué. Infos &amp; visites : Century 21 Boondael Tél. : 02/660.21.21 - Email : info@century21boondael.be.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670.000 €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de la Cité, 38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1875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904 €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2.525 €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9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 2,66 x 3,02 = 8m²</w:t>
      </w:r>
    </w:p>
    <w:p>
      <w:pPr>
        <w:pStyle w:val="Détail"/>
        <w:numPr>
          <w:ilvl w:val="0"/>
          <w:numId w:val="3"/>
        </w:numPr>
      </w:pPr>
      <w:r>
        <w:t xml:space="preserve">Salle de bains 1,29 x 2,34 = 3,01m²</w:t>
      </w:r>
    </w:p>
    <w:p>
      <w:pPr>
        <w:pStyle w:val="Détail"/>
        <w:numPr>
          <w:ilvl w:val="0"/>
          <w:numId w:val="3"/>
        </w:numPr>
      </w:pPr>
      <w:r>
        <w:t xml:space="preserve">Séjour 3,16 x 4,10 = 12,97m²</w:t>
      </w:r>
    </w:p>
    <w:p>
      <w:pPr>
        <w:pStyle w:val="Détail"/>
        <w:numPr>
          <w:ilvl w:val="0"/>
          <w:numId w:val="3"/>
        </w:numPr>
      </w:pPr>
      <w:r>
        <w:t xml:space="preserve">Kot Buanderie = 3,01 x 1,17 = 3,52m²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4,63 x 2,67 = 12,36m²</w:t>
      </w:r>
    </w:p>
    <w:p>
      <w:pPr>
        <w:pStyle w:val="Détail"/>
        <w:numPr>
          <w:ilvl w:val="0"/>
          <w:numId w:val="3"/>
        </w:numPr>
      </w:pPr>
      <w:r>
        <w:t xml:space="preserve">Cuisine 2,72 x 3,19 = 8,67m²</w:t>
      </w:r>
    </w:p>
    <w:p>
      <w:pPr>
        <w:pStyle w:val="Détail"/>
        <w:numPr>
          <w:ilvl w:val="0"/>
          <w:numId w:val="3"/>
        </w:numPr>
      </w:pPr>
      <w:r>
        <w:t xml:space="preserve">Salon 4,67 x 4,20 = 19,61m²</w:t>
      </w:r>
    </w:p>
    <w:p>
      <w:pPr>
        <w:pStyle w:val="Détail"/>
        <w:numPr>
          <w:ilvl w:val="0"/>
          <w:numId w:val="3"/>
        </w:numPr>
      </w:pPr>
      <w:r>
        <w:t xml:space="preserve">Séjour 4,61 x 4,22 = 19,45m²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Terrasse 9,40m²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Thermostat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Détail"/>
        <w:numPr>
          <w:ilvl w:val="0"/>
          <w:numId w:val="3"/>
        </w:numPr>
      </w:pPr>
      <w:r>
        <w:t xml:space="preserve">Tout à l'égout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84,00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20170710-0000508324-01-5</w:t>
      </w:r>
    </w:p>
    <w:p>
      <w:pPr>
        <w:pStyle w:val="Détail"/>
        <w:numPr>
          <w:ilvl w:val="0"/>
          <w:numId w:val="3"/>
        </w:numPr>
      </w:pPr>
      <w:r>
        <w:t xml:space="preserve">Prestation énergétique 419,00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41.723,00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</w:t>
      </w:r>
      <w:r>
        <w:drawing>
          <wp:inline distT="0" distB="0" distL="0" distR="0">
            <wp:extent cx="1714500" cy="22860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6"/>
      <w:footerReference w:type="default" r:id="rId00027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6" Type="http://schemas.openxmlformats.org/officeDocument/2006/relationships/header" Target="header0001.xml"/>
	<Relationship Id="rId00027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8" Type="http://schemas.openxmlformats.org/officeDocument/2006/relationships/numbering" Target="numbering.xml"/>
	<Relationship Id="rId00029" Type="http://schemas.openxmlformats.org/officeDocument/2006/relationships/fontTable" Target="fontTable.xml"/>
	<Relationship Id="rId00030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