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"http:///bien-8064.html"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À vendre – Magnifique maison unifamiliale avec studio et triplex – Quartier Flagey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Réf 2773 B - Située dans le très recherché quartier Flagey, cette belle maison unifamiliale 2 façades en bon état général est actuellement divisée en deux unités : Un studio au rez-de-chaussée avec terrasse, Un triplex occupant les étages supérieurs. Composition de la maison : Rez-de-chaussée : Hall d’entrée, accès au studio composé de 3 pièces en enfilade, cuisine ouverte sur séjour, chambre, salle de bain avec buanderie et accès à une cour de 9 m², 1er étage : Spacieuse salle à manger avec cuisine ouverte, 2e étage : Grand séjour lumineux de 20 m², Combles aménagés : Une chambre de 13 m², Sous-sol : Grandes caves, Chauffage central au gaz, Châssis double vitrage, Toiture en excellent état, Bien actuellement loué. Infos &amp; visites : Century 21 Boondael Tél. : 02/660.21.21 - Email : info@century21boondael.be.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670.000 €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de la Cité, 38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1875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904 €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2.525 €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95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9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Chambre 2,66 x 3,02 = 8m²</w:t>
      </w:r>
    </w:p>
    <w:p>
      <w:pPr>
        <w:pStyle w:val="Détail"/>
        <w:numPr>
          <w:ilvl w:val="0"/>
          <w:numId w:val="3"/>
        </w:numPr>
      </w:pPr>
      <w:r>
        <w:t xml:space="preserve">Salle de bains 1,29 x 2,34 = 3,01m²</w:t>
      </w:r>
    </w:p>
    <w:p>
      <w:pPr>
        <w:pStyle w:val="Détail"/>
        <w:numPr>
          <w:ilvl w:val="0"/>
          <w:numId w:val="3"/>
        </w:numPr>
      </w:pPr>
      <w:r>
        <w:t xml:space="preserve">Séjour 3,16 x 4,10 = 12,97m²</w:t>
      </w:r>
    </w:p>
    <w:p>
      <w:pPr>
        <w:pStyle w:val="Détail"/>
        <w:numPr>
          <w:ilvl w:val="0"/>
          <w:numId w:val="3"/>
        </w:numPr>
      </w:pPr>
      <w:r>
        <w:t xml:space="preserve">Kot Buanderie = 3,01 x 1,17 = 3,52m²</w:t>
      </w: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Chambre 4,63 x 2,67 = 12,36m²</w:t>
      </w:r>
    </w:p>
    <w:p>
      <w:pPr>
        <w:pStyle w:val="Détail"/>
        <w:numPr>
          <w:ilvl w:val="0"/>
          <w:numId w:val="3"/>
        </w:numPr>
      </w:pPr>
      <w:r>
        <w:t xml:space="preserve">Cuisine 2,72 x 3,19 = 8,67m²</w:t>
      </w:r>
    </w:p>
    <w:p>
      <w:pPr>
        <w:pStyle w:val="Détail"/>
        <w:numPr>
          <w:ilvl w:val="0"/>
          <w:numId w:val="3"/>
        </w:numPr>
      </w:pPr>
      <w:r>
        <w:t xml:space="preserve">Salon 4,67 x 4,20 = 19,61m²</w:t>
      </w:r>
    </w:p>
    <w:p>
      <w:pPr>
        <w:pStyle w:val="Détail"/>
        <w:numPr>
          <w:ilvl w:val="0"/>
          <w:numId w:val="3"/>
        </w:numPr>
      </w:pPr>
      <w:r>
        <w:t xml:space="preserve">Séjour 4,61 x 4,22 = 19,45m²</w:t>
      </w:r>
    </w:p>
    <w:p>
      <w:pPr>
        <w:pStyle w:val="Type de détail"/>
      </w:pPr>
      <w:r>
        <w:t xml:space="preserve">Sous Sol:</w:t>
      </w:r>
    </w:p>
    <w:p>
      <w:pPr>
        <w:pStyle w:val="Détail"/>
        <w:numPr>
          <w:ilvl w:val="0"/>
          <w:numId w:val="3"/>
        </w:numPr>
      </w:pPr>
      <w:r>
        <w:t xml:space="preserve">Cave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 9,40m²</w:t>
      </w:r>
    </w:p>
    <w:p>
      <w:pPr>
        <w:pStyle w:val="Type de détail"/>
      </w:pPr>
      <w:r>
        <w:t xml:space="preserve">Equipements de Cuisine:</w:t>
      </w:r>
    </w:p>
    <w:p>
      <w:pPr>
        <w:pStyle w:val="Détail"/>
        <w:numPr>
          <w:ilvl w:val="0"/>
          <w:numId w:val="3"/>
        </w:numPr>
      </w:pPr>
      <w:r>
        <w:t xml:space="preserve">Cuisinière au gaz</w:t>
      </w:r>
    </w:p>
    <w:p>
      <w:pPr>
        <w:pStyle w:val="Type de détail"/>
      </w:pPr>
      <w:r>
        <w:t xml:space="preserve">Equipements de Cuisine (suite):</w:t>
      </w:r>
    </w:p>
    <w:p>
      <w:pPr>
        <w:pStyle w:val="Détail"/>
        <w:numPr>
          <w:ilvl w:val="0"/>
          <w:numId w:val="3"/>
        </w:numPr>
      </w:pPr>
      <w:r>
        <w:t xml:space="preserve">Hotte aspirante</w:t>
      </w:r>
    </w:p>
    <w:p>
      <w:pPr>
        <w:pStyle w:val="Détail"/>
        <w:numPr>
          <w:ilvl w:val="0"/>
          <w:numId w:val="3"/>
        </w:numPr>
      </w:pPr>
      <w:r>
        <w:t xml:space="preserve">Lave linge</w:t>
      </w:r>
    </w:p>
    <w:p>
      <w:pPr>
        <w:pStyle w:val="Détail"/>
        <w:numPr>
          <w:ilvl w:val="0"/>
          <w:numId w:val="3"/>
        </w:numPr>
      </w:pPr>
      <w:r>
        <w:t xml:space="preserve">Lave vaisselle</w:t>
      </w:r>
    </w:p>
    <w:p>
      <w:pPr>
        <w:pStyle w:val="Détail"/>
        <w:numPr>
          <w:ilvl w:val="0"/>
          <w:numId w:val="3"/>
        </w:numPr>
      </w:pPr>
      <w:r>
        <w:t xml:space="preserve">Double évier</w:t>
      </w:r>
    </w:p>
    <w:p>
      <w:pPr>
        <w:pStyle w:val="Type de détail"/>
      </w:pPr>
      <w:r>
        <w:t xml:space="preserve">Equipements Electrique:</w:t>
      </w:r>
    </w:p>
    <w:p>
      <w:pPr>
        <w:pStyle w:val="Détail"/>
        <w:numPr>
          <w:ilvl w:val="0"/>
          <w:numId w:val="3"/>
        </w:numPr>
      </w:pPr>
      <w:r>
        <w:t xml:space="preserve">Thermostat</w:t>
      </w:r>
    </w:p>
    <w:p>
      <w:pPr>
        <w:pStyle w:val="Détail"/>
        <w:numPr>
          <w:ilvl w:val="0"/>
          <w:numId w:val="3"/>
        </w:numPr>
      </w:pPr>
      <w:r>
        <w:t xml:space="preserve">Videophone</w:t>
      </w:r>
    </w:p>
    <w:p>
      <w:pPr>
        <w:pStyle w:val="Type de détail"/>
      </w:pPr>
      <w:r>
        <w:t xml:space="preserve">Equipements divers:</w:t>
      </w:r>
    </w:p>
    <w:p>
      <w:pPr>
        <w:pStyle w:val="Détail"/>
        <w:numPr>
          <w:ilvl w:val="0"/>
          <w:numId w:val="3"/>
        </w:numPr>
      </w:pPr>
      <w:r>
        <w:t xml:space="preserve">Double vitrage</w:t>
      </w:r>
    </w:p>
    <w:p>
      <w:pPr>
        <w:pStyle w:val="Détail"/>
        <w:numPr>
          <w:ilvl w:val="0"/>
          <w:numId w:val="3"/>
        </w:numPr>
      </w:pPr>
      <w:r>
        <w:t xml:space="preserve">Porte blindée</w:t>
      </w:r>
    </w:p>
    <w:p>
      <w:pPr>
        <w:pStyle w:val="Détail"/>
        <w:numPr>
          <w:ilvl w:val="0"/>
          <w:numId w:val="3"/>
        </w:numPr>
      </w:pPr>
      <w:r>
        <w:t xml:space="preserve">Tout à l'égout</w:t>
      </w:r>
    </w:p>
    <w:p>
      <w:pPr>
        <w:pStyle w:val="Type de détail"/>
      </w:pPr>
      <w:r>
        <w:t xml:space="preserve">Fenêtres:</w:t>
      </w:r>
    </w:p>
    <w:p>
      <w:pPr>
        <w:pStyle w:val="Détail"/>
        <w:numPr>
          <w:ilvl w:val="0"/>
          <w:numId w:val="3"/>
        </w:numPr>
      </w:pPr>
      <w:r>
        <w:t xml:space="preserve">PVC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84,00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20170710-0000508324-01-5</w:t>
      </w:r>
    </w:p>
    <w:p>
      <w:pPr>
        <w:pStyle w:val="Détail"/>
        <w:numPr>
          <w:ilvl w:val="0"/>
          <w:numId w:val="3"/>
        </w:numPr>
      </w:pPr>
      <w:r>
        <w:t xml:space="preserve">Prestation énergétique 419,00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41.723,00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