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E2744-052-2025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 juillet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Madame Fanny Anton -Xingas,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Armand Huysmans, 70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mercredi 2 juillet 2025.</w:t>
      </w:r>
    </w:p>
    <w:p>
      <w:pPr>
        <w:pStyle w:val="Titre1"/>
        <w:tabs>
          <w:tab w:val="left" w:pos="1559"/>
          <w:tab w:val="clear" w:pos="15876"/>
        </w:tabs>
        <w:jc w:val="both"/>
        <w:rPr>
          <w:rFonts w:ascii="Bahnschrift SemiLight" w:hAnsi="Bahnschrift SemiLight" w:eastAsia="Bahnschrift SemiLight"/>
          <w:sz w:val="24"/>
        </w:rPr>
      </w:pPr>
    </w:p>
    <w:p>
      <w:pPr>
        <w:pStyle w:val="Titre1"/>
        <w:tabs>
          <w:tab w:val="left" w:pos="1559"/>
          <w:tab w:val="clear" w:pos="15876"/>
        </w:tabs>
        <w:jc w:val="center"/>
        <w:rPr>
          <w:rFonts w:ascii="Bahnschrift SemiLight" w:hAnsi="Bahnschrift SemiLight" w:eastAsia="Bahnschrift SemiLight"/>
          <w:sz w:val="24"/>
        </w:rPr>
      </w:pPr>
      <w:r>
        <w:drawing>
          <wp:inline distT="0" distB="0" distL="0" distR="0">
            <wp:extent cx="4937760" cy="524256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937760" cy="5242560"/>
                    </a:xfrm>
                    <a:prstGeom prst="rect">
                      <a:avLst/>
                    </a:prstGeom>
                  </pic:spPr>
                </pic:pic>
              </a:graphicData>
            </a:graphic>
          </wp:inline>
        </w:drawing>
      </w:r>
    </w:p>
    <w:p>
      <w:pPr>
        <w:pStyle w:val="Titre1"/>
        <w:tabs>
          <w:tab w:val="left" w:pos="1559"/>
          <w:tab w:val="clear" w:pos="15876"/>
        </w:tabs>
        <w:jc w:val="center"/>
        <w:rPr>
          <w:rFonts w:ascii="Bahnschrift SemiLight" w:hAnsi="Bahnschrift SemiLight" w:eastAsia="Bahnschrift SemiLight"/>
          <w:sz w:val="24"/>
        </w:rPr>
      </w:pPr>
    </w:p>
    <w:p>
      <w:pPr>
        <w:pStyle w:val="Titre1"/>
        <w:tabs>
          <w:tab w:val="left" w:pos="1559"/>
          <w:tab w:val="clear" w:pos="15876"/>
        </w:tabs>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Fanny Anton -Xingas,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