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"http:///bien-7840.html"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2671 B) Appartement de 3 chambres dans immeuble de standing proche de La Cambre, A VOIR!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857500" cy="3810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2671 B): Appartement de 3 chambres à coucher dans immeuble de Standing, sis au 5 ème étage/10 étages comprenant un beau salon en parquet + FO, cuisine semi-équipée, salle de bains, cave, terrasse S-O, double vitrage PVC, PEB : G, RU disponible sur demande, ascenseur, A rafraîchir! 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389.000 €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Général Jacques, 34/5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3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Mazout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1960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1.534 €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400 €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120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2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3 Chambres</w:t>
      </w:r>
    </w:p>
    <w:p>
      <w:pPr>
        <w:pStyle w:val="Détail"/>
        <w:numPr>
          <w:ilvl w:val="0"/>
          <w:numId w:val="3"/>
        </w:numPr>
      </w:pPr>
      <w:r>
        <w:t xml:space="preserve">Cuisine semi-équipée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Salon + FO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</w:t>
      </w:r>
    </w:p>
    <w:p>
      <w:pPr>
        <w:pStyle w:val="Type de détail"/>
      </w:pPr>
      <w:r>
        <w:t xml:space="preserve">Equipements divers (suite):</w:t>
      </w:r>
    </w:p>
    <w:p>
      <w:pPr>
        <w:pStyle w:val="Détail"/>
        <w:numPr>
          <w:ilvl w:val="0"/>
          <w:numId w:val="3"/>
        </w:numPr>
      </w:pPr>
      <w:r>
        <w:t xml:space="preserve">Double vitrage PVC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CO2 100,00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504,00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51.070,00 kwh/an</w:t>
      </w:r>
    </w:p>
    <w:p>
      <w:pPr>
        <w:pStyle w:val="Type de détail"/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</w:t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