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"http:///bien-7918.html"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PEB = G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Molenbeek (réf 2708 B) : AFFAIRE A SAISIR - IMMEUBLE RAPPORT louées - maison composée de 4 studios reconnus par l'urbanisme. Possible d'annexer le sous-sol au rez &amp; d'annexer le dernier étage au 3ème étage. A RENOVER COMPLETEMENT. Pas de cour, ni de jardin. 4 PEB = G. Infos &amp; Visites Century 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415.000 €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de l'intendant, 213 à 1080 Molenbeek Saint Jean 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Hauteur plafond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Largeur façade :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4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Equipement de base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865 €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160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Salle d'eau douche avec lavabo et wc</w:t>
      </w:r>
    </w:p>
    <w:p>
      <w:pPr>
        <w:pStyle w:val="Détail"/>
        <w:numPr>
          <w:ilvl w:val="0"/>
          <w:numId w:val="3"/>
        </w:numPr>
      </w:pPr>
      <w:r>
        <w:t xml:space="preserve">Salon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61,00 Kg Co2m²an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Numéro de certificat PEB 20250411-0000710912-01-9</w:t>
      </w:r>
    </w:p>
    <w:p>
      <w:pPr>
        <w:pStyle w:val="Détail"/>
        <w:numPr>
          <w:ilvl w:val="0"/>
          <w:numId w:val="3"/>
        </w:numPr>
      </w:pPr>
      <w:r>
        <w:t xml:space="preserve">Prestation énergétique 384,00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11.825,00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182880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1828800" cy="24384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