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APPARTEMENT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Normal"/>
              <w:widowControl w:val="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eastAsia="Arial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00" w:after="100"/>
              <w:rPr>
                <w:rFonts w:ascii="Arial" w:hAnsi="Arial" w:eastAsia="Arial"/>
              </w:rPr>
            </w:pPr>
            <w:r>
              <w:rPr>
                <w:rFonts w:ascii="Arial" w:hAnsi="Arial" w:eastAsia="Arial"/>
              </w:rPr>
              <w:t xml:space="preserve">Réf 2728 B - Dans un immeuble à appartement multiples situé 25-26-27, Place Eugène Flagey. Un appartement de 90m², situé à l'entresol côté gauche face à l'immeuble, avec vue dégagée sur la place Flagey, comprenant : un hall d'entrée, un living, une cuisine, une salle de bains, un dégagement, un water-closet et deux chambres à coucher dont une avec terrasse, ainsi que la cave dans les sous-sols.LIBRE a l'ACTE. PEB = E+.  Infos &amp; Visites Century 21 Boondael 02/660.21.21 OU 0491/19.73.57 OU www.century21boondael.be</w:t>
            </w:r>
          </w:p>
          <w:p>
            <w:pPr>
              <w:pStyle w:val="Normal"/>
              <w:widowControl w:val="o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hAnsi="Arial" w:eastAsia="Arial"/>
              </w:rPr>
            </w:pPr>
          </w:p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color w:val="000000"/>
              </w:rPr>
            </w:pP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VENDRE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  <w:style w:type="character" w:styleId="Hyperlink">
    <w:name w:val="Hyperlink"/>
    <w:qFormat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