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Nexity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07/01/2025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Drève de Nivelles, 147/2 1150 Woluwe-Saint-Pierre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Woluwe-Saint-Pierre </w:t>
      </w:r>
      <w:r>
        <w:rPr>
          <w:rFonts w:ascii="Century Gothic" w:hAnsi="Century Gothic" w:eastAsia="Century Gothic"/>
          <w:sz w:val="24"/>
        </w:rPr>
        <w:t xml:space="preserve">: appart de 2ch avec cave sisd au 1er étage de la </w:t>
      </w:r>
      <w:r>
        <w:rPr>
          <w:rFonts w:ascii="Century Gothic" w:hAnsi="Century Gothic" w:eastAsia="Century Gothic"/>
          <w:b w:val="on"/>
          <w:sz w:val="24"/>
        </w:rPr>
        <w:t xml:space="preserve">Drève de Nivelles, 147/2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 Pierre Collard - Immoco SA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9° une copie de la police d'assurance global de l'ACP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