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E2687 B-104-2024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décembre 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Xavier Vanderwoude,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bureau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des Saisons, 110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jeudi 21 novembre 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6096000" cy="45720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6096000" cy="45720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u w:val="single"/>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u w:val="single"/>
        </w:rPr>
        <w:t xml:space="preserve">Description du bien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Dans une petite copropriété, arrière bureau comprenant une salle d'attente, un cabimmet dentaire, une kitchenette, toilette - chaufferie.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u w:val="single"/>
        </w:rPr>
        <w:t xml:space="preserve">Surfaces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tabs>
          <w:tab w:val="left" w:pos="1559"/>
          <w:tab w:val="clear" w:pos="15876"/>
        </w:tabs>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Xavier Vanderwoude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