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"http:///bien-7821.html"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TOP investissement près de l'ULB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(réf 2659 B) A proximité de Roffiaen et de la gare d'Etterbeek, Century 21 Boondael vous présente ce studio en TRES BON ETAT dans une petite copropriété de 4 unités sans ascenseur. Il est composé comme suit : PARQUET partout et CARRELAGE dans la cuisine, un hall d'entrée, un séjour, une salle à manger, cuisine équipée (hotte, taque au gaz), une salle de douche avec raccord prévu pour une machine à laver et WC, une chambre sous-toiture de 15m² avec une hauteur de 2m. PEB G &amp; électricité CONFORME. 100€ pour les charges comprennant l'eau, les communs et l'assurance. LIBRE A L'ACTE.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195.000 €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Emile de Béco, 128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+-1960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Précompte immobilier :  500€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15m² - H = 2m</w:t>
      </w:r>
    </w:p>
    <w:p>
      <w:pPr>
        <w:pStyle w:val="Détail"/>
        <w:numPr>
          <w:ilvl w:val="0"/>
          <w:numId w:val="3"/>
        </w:numPr>
      </w:pPr>
      <w:r>
        <w:t xml:space="preserve">Cuisine 6,10m²</w:t>
      </w:r>
    </w:p>
    <w:p>
      <w:pPr>
        <w:pStyle w:val="Détail"/>
        <w:numPr>
          <w:ilvl w:val="0"/>
          <w:numId w:val="3"/>
        </w:numPr>
      </w:pPr>
      <w:r>
        <w:t xml:space="preserve">Hall  3m²</w:t>
      </w:r>
    </w:p>
    <w:p>
      <w:pPr>
        <w:pStyle w:val="Détail"/>
        <w:numPr>
          <w:ilvl w:val="0"/>
          <w:numId w:val="3"/>
        </w:numPr>
      </w:pPr>
      <w:r>
        <w:t xml:space="preserve">Salle à manger 11m²</w:t>
      </w:r>
    </w:p>
    <w:p>
      <w:pPr>
        <w:pStyle w:val="Détail"/>
        <w:numPr>
          <w:ilvl w:val="0"/>
          <w:numId w:val="3"/>
        </w:numPr>
      </w:pPr>
      <w:r>
        <w:t xml:space="preserve">Salle de bains 4,09m²</w:t>
      </w:r>
    </w:p>
    <w:p>
      <w:pPr>
        <w:pStyle w:val="Détail"/>
        <w:numPr>
          <w:ilvl w:val="0"/>
          <w:numId w:val="3"/>
        </w:numPr>
      </w:pPr>
      <w:r>
        <w:t xml:space="preserve">Salon 15m²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2 Cave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CO2 231,00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1.073,00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51.955,00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3048000" cy="224028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