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p>
    <w:p>
      <w:pPr>
        <w:pStyle w:val="[Normal]"/>
        <w:widowControl w:val="on"/>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E2627-043-2024</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31 mai 2024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Monsieur Vincent De Boever,</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Estimation de votre bien immobilier  : Appartement 1 ch au 1er étage</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sis Rue Maria Malibran, 14 à 1050 Ixelles</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b w:val="on"/>
          <w:sz w:val="24"/>
        </w:rPr>
        <w:t xml:space="preserve">notre visite de ce     30 -05 -2024.</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195.000 €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205.000 €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215.000 €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Vincent De Boever,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p>
      <w:pPr>
        <w:pStyle w:val="Titre1"/>
        <w:tabs>
          <w:tab w:val="left" w:pos="6660"/>
          <w:tab w:val="clear" w:pos="15876"/>
        </w:tabs>
        <w:jc w:val="center"/>
        <w:rPr>
          <w:rFonts w:ascii="Bahnschrift SemiLight" w:hAnsi="Bahnschrift SemiLight" w:eastAsia="Bahnschrift SemiLight"/>
          <w:b w:val="off"/>
          <w:color w:val="808040"/>
          <w:sz w:val="24"/>
        </w:rPr>
      </w:pP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widowControl w:val="on"/>
      <w:tabs>
        <w:tab w:val="left" w:pos="9025"/>
        <w:tab w:val="clear" w:pos="9072"/>
      </w:tabs>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widowControl w:val="on"/>
      <w:tabs>
        <w:tab w:val="left" w:pos="9025"/>
        <w:tab w:val="clear" w:pos="9072"/>
      </w:tabs>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widowControl w:val="on"/>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tabs>
        <w:tab w:val="left" w:pos="360"/>
      </w:tabs>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HyperlinkBase>C:\Users\info\CENTURY 21 Boondael\Century 21 Boondael - Documents\Activimmo\</HyperlinkBas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