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"bien-7680.html"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Réf : 2667 B Superbe maison XIXe siècle à rénover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2857500" cy="38100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Etterbeek (réf 2667 B) : Dans une rue à sens unique calme et sécurisée, proche de la Chasse. En face du Delhaize, Century21 Boondael vous propose une superbe Maison Unifamiliale de 180m² PEB, maison du XIXe siècle à rénover, comprenant : Un grand garage de 17m²avec une hauteur de 3m, au rez-de-chaussée une cuisine équipée, un bureau, une buanderie, une petite cour de 6m², au 1er étage, une chambre avec salle de douche, salle à manger, séjour, au 2ème étage, deux chambres avec une salle de bain, 3ème étage un grenier aménageable. Electricité non conforme. PEB = G. Infos &amp; Visites Century 21 Boondael 02/660.21.21 ou 0491/19.73.57.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425.000 €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Rue Nothomb 63  à 1040 Etterbeek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Affectation du bien : Maison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3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1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 / Parking : 1 / 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Cour : Oui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Aménagée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Gaz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1900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cadastral : 880 €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120 m²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6 m²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RDC:</w:t>
      </w:r>
    </w:p>
    <w:p>
      <w:pPr>
        <w:pStyle w:val="Détail"/>
        <w:numPr>
          <w:ilvl w:val="0"/>
          <w:numId w:val="3"/>
        </w:numPr>
      </w:pPr>
      <w:r>
        <w:t xml:space="preserve">Arrière-cuisine 1,34 x 3,44 = 4,62m²</w:t>
      </w:r>
    </w:p>
    <w:p>
      <w:pPr>
        <w:pStyle w:val="Détail"/>
        <w:numPr>
          <w:ilvl w:val="0"/>
          <w:numId w:val="3"/>
        </w:numPr>
      </w:pPr>
      <w:r>
        <w:t xml:space="preserve">Bureau 2,19 x 3,02 = 6,63m²</w:t>
      </w:r>
    </w:p>
    <w:p>
      <w:pPr>
        <w:pStyle w:val="Détail"/>
        <w:numPr>
          <w:ilvl w:val="0"/>
          <w:numId w:val="3"/>
        </w:numPr>
      </w:pPr>
      <w:r>
        <w:t xml:space="preserve">Cuisine 3,68 x 2,55 = 9,40m²</w:t>
      </w:r>
    </w:p>
    <w:p>
      <w:pPr>
        <w:pStyle w:val="Détail"/>
        <w:numPr>
          <w:ilvl w:val="0"/>
          <w:numId w:val="3"/>
        </w:numPr>
      </w:pPr>
      <w:r>
        <w:t xml:space="preserve">Hall  + escalier : 9m²</w:t>
      </w:r>
    </w:p>
    <w:p>
      <w:pPr>
        <w:pStyle w:val="Détail"/>
        <w:numPr>
          <w:ilvl w:val="0"/>
          <w:numId w:val="3"/>
        </w:numPr>
      </w:pPr>
      <w:r>
        <w:t xml:space="preserve">WC 1,45m²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1ère étage:</w:t>
      </w:r>
    </w:p>
    <w:p>
      <w:pPr>
        <w:pStyle w:val="Détail"/>
        <w:numPr>
          <w:ilvl w:val="0"/>
          <w:numId w:val="3"/>
        </w:numPr>
      </w:pPr>
      <w:r>
        <w:t xml:space="preserve">Chambre 2,51 x 3,65 = 9,19m²</w:t>
      </w:r>
    </w:p>
    <w:p>
      <w:pPr>
        <w:pStyle w:val="Détail"/>
        <w:numPr>
          <w:ilvl w:val="0"/>
          <w:numId w:val="3"/>
        </w:numPr>
      </w:pPr>
      <w:r>
        <w:t xml:space="preserve">Salle à manger 3,73 x 3,01 = 11,26m²</w:t>
      </w:r>
    </w:p>
    <w:p>
      <w:pPr>
        <w:pStyle w:val="Détail"/>
        <w:numPr>
          <w:ilvl w:val="0"/>
          <w:numId w:val="3"/>
        </w:numPr>
      </w:pPr>
      <w:r>
        <w:t xml:space="preserve">Salle de bains salle de douche : 1,31 x 2,74 = 3,61m²</w:t>
      </w:r>
    </w:p>
    <w:p>
      <w:pPr>
        <w:pStyle w:val="Détail"/>
        <w:numPr>
          <w:ilvl w:val="0"/>
          <w:numId w:val="3"/>
        </w:numPr>
      </w:pPr>
      <w:r>
        <w:t xml:space="preserve">Séjour 4,62 x 3,54 = 16,42 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2ème étage:</w:t>
      </w:r>
    </w:p>
    <w:p>
      <w:pPr>
        <w:pStyle w:val="Détail"/>
        <w:numPr>
          <w:ilvl w:val="0"/>
          <w:numId w:val="3"/>
        </w:numPr>
      </w:pPr>
      <w:r>
        <w:t xml:space="preserve">Chambre avant : 3,51 x 4,63 = 16,30m² - arriere : 3,02 x 3,80 = 11,50m²</w:t>
      </w:r>
    </w:p>
    <w:p>
      <w:pPr>
        <w:pStyle w:val="Détail"/>
        <w:numPr>
          <w:ilvl w:val="0"/>
          <w:numId w:val="3"/>
        </w:numPr>
      </w:pPr>
      <w:r>
        <w:t xml:space="preserve">Salle de bain + wc : 1,28 x 2,50 = 3,20m²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Pièces diverses (suite):</w:t>
      </w:r>
    </w:p>
    <w:p>
      <w:pPr>
        <w:pStyle w:val="Détail"/>
        <w:numPr>
          <w:ilvl w:val="0"/>
          <w:numId w:val="3"/>
        </w:numPr>
      </w:pPr>
      <w:r>
        <w:t xml:space="preserve">Cave</w:t>
      </w:r>
    </w:p>
    <w:p>
      <w:pPr>
        <w:pStyle w:val="Détail"/>
        <w:numPr>
          <w:ilvl w:val="0"/>
          <w:numId w:val="3"/>
        </w:numPr>
      </w:pPr>
      <w:r>
        <w:t xml:space="preserve">Garage 5,33 x 3,30 = 17,62 m² - H = 3m</w:t>
      </w:r>
    </w:p>
    <w:p>
      <w:pPr>
        <w:pStyle w:val="Détail"/>
        <w:numPr>
          <w:ilvl w:val="0"/>
          <w:numId w:val="3"/>
        </w:numPr>
      </w:pPr>
      <w:r>
        <w:t xml:space="preserve">Grenier 4,68 x 4,93 = 23,10m²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Dépendances:</w:t>
      </w:r>
    </w:p>
    <w:p>
      <w:pPr>
        <w:pStyle w:val="Détail"/>
        <w:numPr>
          <w:ilvl w:val="0"/>
          <w:numId w:val="3"/>
        </w:numPr>
      </w:pPr>
      <w:r>
        <w:t xml:space="preserve">Cour 3,51 x 1,76 = 6,21 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Fenêtres:</w:t>
      </w:r>
    </w:p>
    <w:p>
      <w:pPr>
        <w:pStyle w:val="Détail"/>
        <w:numPr>
          <w:ilvl w:val="0"/>
          <w:numId w:val="3"/>
        </w:numPr>
      </w:pPr>
      <w:r>
        <w:t xml:space="preserve">PVC double vitrage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Certifications:</w:t>
      </w:r>
    </w:p>
    <w:p>
      <w:pPr>
        <w:pStyle w:val="Détail"/>
        <w:numPr>
          <w:ilvl w:val="0"/>
          <w:numId w:val="3"/>
        </w:numPr>
      </w:pPr>
      <w:r>
        <w:t xml:space="preserve">Emissions CO2 158,00 Kg Co2m²an</w:t>
      </w:r>
    </w:p>
    <w:p>
      <w:pPr>
        <w:pStyle w:val="Détail"/>
        <w:numPr>
          <w:ilvl w:val="0"/>
          <w:numId w:val="3"/>
        </w:numPr>
      </w:pPr>
      <w:r>
        <w:t xml:space="preserve">Numéro de certificat PEB 20121014-0000122087-01-2</w:t>
      </w:r>
    </w:p>
    <w:p>
      <w:pPr>
        <w:pStyle w:val="Détail"/>
        <w:numPr>
          <w:ilvl w:val="0"/>
          <w:numId w:val="3"/>
        </w:numPr>
      </w:pPr>
      <w:r>
        <w:t xml:space="preserve">Prestation énergétique 521,00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28.938,00 kwh/an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Sol:</w:t>
      </w:r>
    </w:p>
    <w:p>
      <w:pPr>
        <w:pStyle w:val="Détail"/>
        <w:numPr>
          <w:ilvl w:val="0"/>
          <w:numId w:val="3"/>
        </w:numPr>
      </w:pPr>
      <w:r>
        <w:t xml:space="preserve">Carrelage</w:t>
      </w:r>
    </w:p>
    <w:p>
      <w:pPr>
        <w:pStyle w:val="Détail"/>
        <w:numPr>
          <w:ilvl w:val="0"/>
          <w:numId w:val="3"/>
        </w:numPr>
      </w:pPr>
      <w:r>
        <w:t xml:space="preserve">Plancher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3048000" cy="22860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2286000" cy="30480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3048000" cy="22860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</w:t>
      </w:r>
      <w:r>
        <w:drawing>
          <wp:inline distT="0" distB="0" distL="0" distR="0">
            <wp:extent cx="3048000" cy="22860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3048000" cy="22860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2286000" cy="30480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30480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30480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30480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30480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30480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3048000" cy="22860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sectPr>
      <w:headerReference w:type="default" r:id="rId00019"/>
      <w:footerReference w:type="default" r:id="rId00020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clear" w:pos="10206"/>
              <w:tab w:val="clear" w:pos="11340"/>
              <w:tab w:val="clear" w:pos="12474"/>
            </w:tabs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http:// www.century21.be</w:t>
          </w:r>
        </w:p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clear" w:pos="10206"/>
              <w:tab w:val="clear" w:pos="11340"/>
              <w:tab w:val="clear" w:pos="12474"/>
            </w:tabs>
            <w:jc w:val="center"/>
            <w:rPr>
              <w:rFonts w:ascii="Bahnschrift SemiLight" w:hAnsi="Bahnschrift SemiLight" w:eastAsia="Bahnschrift SemiLight"/>
              <w:color w:val="FFFFFF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info@century21boondael.be</w:t>
          </w:r>
        </w:p>
      </w:tc>
    </w:tr>
  </w:tbl>
  <w:p>
    <w:pPr>
      <w:pStyle w:val="[Normal]"/>
      <w:widowControl w:val="on"/>
      <w:tabs>
        <w:tab w:val="left" w:pos="9637"/>
        <w:tab w:val="left" w:pos="9637"/>
        <w:tab w:val="left" w:pos="17010"/>
        <w:tab w:val="clear" w:pos="10206"/>
        <w:tab w:val="clear" w:pos="11340"/>
        <w:tab w:val="clear" w:pos="12474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widowControl w:val="on"/>
      <w:tabs>
        <w:tab w:val="left" w:pos="9637"/>
        <w:tab w:val="left" w:pos="9637"/>
        <w:tab w:val="left" w:pos="17010"/>
        <w:tab w:val="clear" w:pos="10206"/>
        <w:tab w:val="clear" w:pos="11340"/>
        <w:tab w:val="clear" w:pos="12474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clear" w:pos="10206"/>
              <w:tab w:val="clear" w:pos="11340"/>
              <w:tab w:val="clear" w:pos="12474"/>
            </w:tabs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clear" w:pos="10206"/>
              <w:tab w:val="clear" w:pos="11340"/>
              <w:tab w:val="clear" w:pos="12474"/>
            </w:tabs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widowControl w:val="on"/>
      <w:tabs>
        <w:tab w:val="left" w:pos="9637"/>
        <w:tab w:val="left" w:pos="9637"/>
        <w:tab w:val="left" w:pos="17010"/>
        <w:tab w:val="clear" w:pos="10206"/>
        <w:tab w:val="clear" w:pos="11340"/>
        <w:tab w:val="clear" w:pos="12474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widowControl w:val="on"/>
      <w:tabs>
        <w:tab w:val="left" w:pos="9637"/>
        <w:tab w:val="left" w:pos="9637"/>
        <w:tab w:val="left" w:pos="17010"/>
        <w:tab w:val="clear" w:pos="10206"/>
        <w:tab w:val="clear" w:pos="11340"/>
        <w:tab w:val="clear" w:pos="12474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Détail">
    <w:name w:val="Détail"/>
    <w:basedOn w:val="[Normal]"/>
    <w:next w:val="Détail"/>
    <w:qFormat/>
    <w:pPr>
      <w:widowControl w:val="on"/>
      <w:numPr>
        <w:ilvl w:val="0"/>
        <w:numId w:val="1"/>
      </w:numPr>
      <w:tabs>
        <w:tab w:val="left" w:pos="360"/>
        <w:tab w:val="clear" w:pos="15876"/>
      </w:tabs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  <w:tabs>
        <w:tab w:val="left" w:pos="15876"/>
        <w:tab w:val="clear" w:pos="360"/>
      </w:tabs>
    </w:pPr>
    <w:rPr>
      <w:b w:val="on"/>
    </w:rPr>
  </w:style>
  <w:style w:type="paragraph" w:styleId="Titre1">
    <w:name w:val="Titre1"/>
    <w:basedOn w:val="[Normal]"/>
    <w:next w:val="Titre1"/>
    <w:qFormat/>
    <w:pPr>
      <w:widowControl w:val="on"/>
    </w:pPr>
    <w:rPr>
      <w:b w:val="on"/>
      <w:sz w:val="28"/>
    </w:rPr>
  </w:style>
  <w:style w:type="paragraph" w:styleId="TEST">
    <w:name w:val="TEST"/>
    <w:basedOn w:val="[Normal]"/>
    <w:next w:val="TEST"/>
    <w:qFormat/>
    <w:pPr>
      <w:widowControl w:val="on"/>
    </w:pPr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9" Type="http://schemas.openxmlformats.org/officeDocument/2006/relationships/header" Target="header0001.xml"/>
	<Relationship Id="rId0002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21" Type="http://schemas.openxmlformats.org/officeDocument/2006/relationships/numbering" Target="numbering.xml"/>
	<Relationship Id="rId00022" Type="http://schemas.openxmlformats.org/officeDocument/2006/relationships/fontTable" Target="fontTable.xml"/>
	<Relationship Id="rId0002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  <HyperlinkBase>C:\Users\info\CENTURY 21 Boondael\Century 21 Boondael - Documents\Activimmo\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