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"http:///bien-7674.html"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(réf 2593 B) : Appartement / Grenier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267200" cy="32004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2593 B) :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 le Boulevard Génréal Jacques, à proximité de la gare d'Etterbeek, appartement 1 chambre sous toiture de 45 m² situé au 4ème étage sur 4 comprenant : un hall d'entrée avec toilette, un salon avec mezzanine, cuisine ouverte équipée, une chambre avec salle de douche. PEB : G. ATTENTION : Appartement référencé en GRENIER au service de l'urbanisme d'Ixelles. Régularisation à prévoir PAR L'ACQUEREUR. FAIRE OFFRE à partir de 135.000 euros sous réserve d'acceptation des propriétaires.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135.000 €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Boulevard Général Jacques, 251 à 1050 Elsene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Grénier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arrière sud/ouest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1924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non donné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pas loué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+/- 100 €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45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4ème étage:</w:t>
      </w:r>
    </w:p>
    <w:p>
      <w:pPr>
        <w:pStyle w:val="Détail"/>
        <w:numPr>
          <w:ilvl w:val="0"/>
          <w:numId w:val="3"/>
        </w:numPr>
      </w:pPr>
      <w:r>
        <w:t xml:space="preserve">Chambre</w:t>
      </w:r>
    </w:p>
    <w:p>
      <w:pPr>
        <w:pStyle w:val="Détail"/>
        <w:numPr>
          <w:ilvl w:val="0"/>
          <w:numId w:val="3"/>
        </w:numPr>
      </w:pPr>
      <w:r>
        <w:t xml:space="preserve">Hall d'entrée</w:t>
      </w:r>
    </w:p>
    <w:p>
      <w:pPr>
        <w:pStyle w:val="Détail"/>
        <w:numPr>
          <w:ilvl w:val="0"/>
          <w:numId w:val="3"/>
        </w:numPr>
      </w:pPr>
      <w:r>
        <w:t xml:space="preserve">Salle de bains</w:t>
      </w:r>
    </w:p>
    <w:p>
      <w:pPr>
        <w:pStyle w:val="Détail"/>
        <w:numPr>
          <w:ilvl w:val="0"/>
          <w:numId w:val="3"/>
        </w:numPr>
      </w:pPr>
      <w:r>
        <w:t xml:space="preserve">Salon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72,00 Kg Co2m²an</w:t>
      </w:r>
    </w:p>
    <w:p>
      <w:pPr>
        <w:pStyle w:val="Détail"/>
        <w:numPr>
          <w:ilvl w:val="0"/>
          <w:numId w:val="3"/>
        </w:numPr>
      </w:pPr>
      <w:r>
        <w:t xml:space="preserve">Prestation énergétique 374,00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19.041,00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17145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286000" cy="17145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17145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714500" cy="22860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286000" cy="17145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6010275" cy="5762625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