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PAUL URBAIN GESTION IMMOBILIERE SPRL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Avenue de l'Assomption, 13 à 1200 Bruxelles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Tél : 02/768.26.97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info@paulurbain.be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avril 2024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Defacqz, 31 1050 Ixelles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Defacqz, 31 parking n°16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Benjamin Auvray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