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4995" cy="1316355"/>
                    </a:xfrm>
                    <a:prstGeom prst="rect">
                      <a:avLst/>
                    </a:prstGeom>
                  </pic:spPr>
                </pic:pic>
              </a:graphicData>
            </a:graphic>
          </wp:anchor>
        </w:drawing>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E2613-029-2024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4 avril 2024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Monsieur Gilles  Houtmeyers,</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Estimation de votre bien immobilier  : Maison de Rapport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sis Rue du Printemps, 27 à 1050 Ixelles</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notre visite de ce     30 -03 -2024.</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sz w:val="24"/>
        </w:rPr>
        <w:t xml:space="preserve">580</w:t>
      </w:r>
      <w:r>
        <w:rPr>
          <w:rFonts w:ascii="Bahnschrift SemiLight" w:hAnsi="Bahnschrift SemiLight" w:eastAsia="Bahnschrift SemiLight"/>
          <w:color w:val="000000"/>
          <w:sz w:val="24"/>
        </w:rPr>
        <w:t xml:space="preserve">.000 €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600.000 €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sz w:val="24"/>
        </w:rPr>
        <w:t xml:space="preserve">625.000 €</w:t>
      </w:r>
    </w:p>
    <w:p>
      <w:pPr>
        <w:pStyle w:val="Titre1"/>
        <w:jc w:val="both"/>
        <w:rPr>
          <w:rFonts w:ascii="Bahnschrift SemiLight" w:hAnsi="Bahnschrift SemiLight" w:eastAsia="Bahnschrift SemiLight"/>
          <w:color w:val="FF0000"/>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color w:val="FF0000"/>
          <w:sz w:val="24"/>
        </w:rPr>
        <w:t xml:space="preserve">Sous réserve d'acceptation de la commune d'Ixelles</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Monsieur Gilles  Houtmeyers,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Liuzzi Pietro</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Century21 Boondael</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Expert Immobilier</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0491.19.73.57</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w:t>
    </w:r>
    <w:r>
      <w:rPr>
        <w:rFonts w:ascii="Bahnschrift SemiLight" w:hAnsi="Bahnschrift SemiLight" w:eastAsia="Bahnschrift SemiLight"/>
        <w:sz w:val="16"/>
      </w:rPr>
      <w:t xml:space="preserve">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