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"http:///bien-7620.html"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Ixelles (réf 2562 B) : Maison 4 chambres + dressing + bureau</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3048000" cy="22860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048000" cy="2286000"/>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Ixelles (réf 2562 B): Quartier très agréable du cimetière d'Ixelles située entre la place de la Petite Suisse et le rond point de l'Université, très belle avenue, maison bel étage entièrement rénovée avec beaucoup de potentiel et de très beau volume comprenant : un hall d'entrée avec toilette et un vestiaire, garage une voiture, buanderie, chaufferie et cave. Au 1er étage un hall donnant accès à un beau séjour avec terrasse et jardin, une grande cuisine et un bureau. Au 2ème étage : 3 chambres et une salle de bains. Au 3ème étage : 3 chambres et un dressing. Chauffage central au gaz. Double vitrage. PEB F. RU sur demande. Infos &amp; Visites Century 21 Boondael 02/660.21.21 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1.350.000 €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Général Médecin Derache, 43 à 1050 Ixelles</w:t>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Hauteur plafond :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Largeur façade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4</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1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 et aménagée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Année de construction : 1956</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 :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locatif mensuel :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280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20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60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RDC:</w:t>
      </w:r>
    </w:p>
    <w:p>
      <w:pPr>
        <w:pStyle w:val="Détail"/>
        <w:numPr>
          <w:ilvl w:val="0"/>
          <w:numId w:val="3"/>
        </w:numPr>
      </w:pPr>
      <w:r>
        <w:t xml:space="preserve">Hall</w:t>
      </w:r>
    </w:p>
    <w:p>
      <w:pPr>
        <w:pStyle w:val="Détail"/>
        <w:numPr>
          <w:ilvl w:val="0"/>
          <w:numId w:val="3"/>
        </w:numPr>
      </w:pPr>
      <w:r>
        <w:t xml:space="preserve">WC</w:t>
      </w:r>
    </w:p>
    <w:p>
      <w:pPr>
        <w:pStyle w:val="Type de détail"/>
      </w:pPr>
      <w:r>
        <w:t xml:space="preserve">1ère étage:</w:t>
      </w:r>
    </w:p>
    <w:p>
      <w:pPr>
        <w:pStyle w:val="Détail"/>
        <w:numPr>
          <w:ilvl w:val="0"/>
          <w:numId w:val="3"/>
        </w:numPr>
      </w:pPr>
      <w:r>
        <w:t xml:space="preserve">Bureau 3,04 m x 3,31 = 10,10 m²</w:t>
      </w:r>
    </w:p>
    <w:p>
      <w:pPr>
        <w:pStyle w:val="Détail"/>
        <w:numPr>
          <w:ilvl w:val="0"/>
          <w:numId w:val="3"/>
        </w:numPr>
      </w:pPr>
      <w:r>
        <w:t xml:space="preserve">Cuisine 5,92 m x 3,55 m = 21,03 m²</w:t>
      </w:r>
    </w:p>
    <w:p>
      <w:pPr>
        <w:pStyle w:val="Détail"/>
        <w:numPr>
          <w:ilvl w:val="0"/>
          <w:numId w:val="3"/>
        </w:numPr>
      </w:pPr>
      <w:r>
        <w:t xml:space="preserve">Hall  avec cage d'escalier = 8,53 m²</w:t>
      </w:r>
    </w:p>
    <w:p>
      <w:pPr>
        <w:pStyle w:val="Détail"/>
        <w:numPr>
          <w:ilvl w:val="0"/>
          <w:numId w:val="3"/>
        </w:numPr>
      </w:pPr>
      <w:r>
        <w:t xml:space="preserve">Salon 6,63 m x 4,95 m = 32,85 m²</w:t>
      </w:r>
    </w:p>
    <w:p>
      <w:pPr>
        <w:pStyle w:val="Type de détail"/>
      </w:pPr>
      <w:r>
        <w:t xml:space="preserve">2ème étage:</w:t>
      </w:r>
    </w:p>
    <w:p>
      <w:pPr>
        <w:pStyle w:val="Détail"/>
        <w:numPr>
          <w:ilvl w:val="0"/>
          <w:numId w:val="3"/>
        </w:numPr>
      </w:pPr>
      <w:r>
        <w:t xml:space="preserve">3 Chambres chambre 1 avant : 3,47 m x 5,01 m = 17,47 m²  chambre 2 avant : 3,09 m x 2,96 m = 9,19 m² chambre 3 arrière : 3,55 m x 5,57 m = 19,85 m²</w:t>
      </w:r>
    </w:p>
    <w:p>
      <w:pPr>
        <w:pStyle w:val="Détail"/>
        <w:numPr>
          <w:ilvl w:val="0"/>
          <w:numId w:val="3"/>
        </w:numPr>
      </w:pPr>
      <w:r>
        <w:t xml:space="preserve">Salle de bain 3,68 m x 3,05 m = 11,25 m²</w:t>
      </w:r>
    </w:p>
    <w:p>
      <w:pPr>
        <w:pStyle w:val="Détail"/>
        <w:numPr>
          <w:ilvl w:val="0"/>
          <w:numId w:val="3"/>
        </w:numPr>
      </w:pPr>
      <w:r>
        <w:t xml:space="preserve">WC 1,32 m²</w:t>
      </w:r>
    </w:p>
    <w:p>
      <w:pPr>
        <w:pStyle w:val="Type de détail"/>
      </w:pPr>
      <w:r>
        <w:t xml:space="preserve">3ème étage (suite):</w:t>
      </w:r>
    </w:p>
    <w:p>
      <w:pPr>
        <w:pStyle w:val="Détail"/>
        <w:numPr>
          <w:ilvl w:val="0"/>
          <w:numId w:val="3"/>
        </w:numPr>
      </w:pPr>
      <w:r>
        <w:t xml:space="preserve">3 Chambres Chambre 1 avant : 6,62 m x 2,54 m = 16,89 m²  Chambre 2 arrière : 4,72 m x 3,75 = 17,72 m²  Chambre 3 arrière : 2,75 m x 4,82 m = 13,30 m²  Dressing : 3,20 m x 2,98 m = 9,57 m²   </w:t>
      </w:r>
    </w:p>
    <w:p>
      <w:pPr>
        <w:pStyle w:val="Détail"/>
        <w:numPr>
          <w:ilvl w:val="0"/>
          <w:numId w:val="3"/>
        </w:numPr>
      </w:pPr>
      <w:r>
        <w:t xml:space="preserve">Dressing</w:t>
      </w:r>
    </w:p>
    <w:p>
      <w:pPr>
        <w:pStyle w:val="Type de détail"/>
      </w:pPr>
      <w:r>
        <w:t xml:space="preserve">Pièces diverses:</w:t>
      </w:r>
    </w:p>
    <w:p>
      <w:pPr>
        <w:pStyle w:val="Détail"/>
        <w:numPr>
          <w:ilvl w:val="0"/>
          <w:numId w:val="3"/>
        </w:numPr>
      </w:pPr>
      <w:r>
        <w:t xml:space="preserve">Buanderie</w:t>
      </w:r>
    </w:p>
    <w:p>
      <w:pPr>
        <w:pStyle w:val="Détail"/>
        <w:numPr>
          <w:ilvl w:val="0"/>
          <w:numId w:val="3"/>
        </w:numPr>
      </w:pPr>
      <w:r>
        <w:t xml:space="preserve">Cave</w:t>
      </w:r>
    </w:p>
    <w:p>
      <w:pPr>
        <w:pStyle w:val="Détail"/>
        <w:numPr>
          <w:ilvl w:val="0"/>
          <w:numId w:val="3"/>
        </w:numPr>
      </w:pPr>
      <w:r>
        <w:t xml:space="preserve">Chaufferie</w:t>
      </w:r>
    </w:p>
    <w:p>
      <w:pPr>
        <w:pStyle w:val="Détail"/>
        <w:numPr>
          <w:ilvl w:val="0"/>
          <w:numId w:val="3"/>
        </w:numPr>
      </w:pPr>
      <w:r>
        <w:t xml:space="preserve">Garage</w:t>
      </w:r>
    </w:p>
    <w:p>
      <w:pPr>
        <w:pStyle w:val="Type de détail"/>
      </w:pPr>
      <w:r>
        <w:t xml:space="preserve">Certifications:</w:t>
      </w:r>
    </w:p>
    <w:p>
      <w:pPr>
        <w:pStyle w:val="Détail"/>
        <w:numPr>
          <w:ilvl w:val="0"/>
          <w:numId w:val="3"/>
        </w:numPr>
      </w:pPr>
      <w:r>
        <w:t xml:space="preserve">Emissions CO2 70,00 Kg Co2m²an</w:t>
      </w:r>
    </w:p>
    <w:p>
      <w:pPr>
        <w:pStyle w:val="Détail"/>
        <w:numPr>
          <w:ilvl w:val="0"/>
          <w:numId w:val="3"/>
        </w:numPr>
      </w:pPr>
      <w:r>
        <w:t xml:space="preserve">Numéro de certificat PEB 20200811-0000573072-01-0</w:t>
      </w:r>
    </w:p>
    <w:p>
      <w:pPr>
        <w:pStyle w:val="Détail"/>
        <w:numPr>
          <w:ilvl w:val="0"/>
          <w:numId w:val="3"/>
        </w:numPr>
      </w:pPr>
      <w:r>
        <w:t xml:space="preserve">Prestation énergétique 351,00 Kwh</w:t>
      </w:r>
    </w:p>
    <w:p>
      <w:pPr>
        <w:pStyle w:val="Détail"/>
        <w:numPr>
          <w:ilvl w:val="0"/>
          <w:numId w:val="3"/>
        </w:numPr>
      </w:pPr>
      <w:r>
        <w:t xml:space="preserve">Total énergie primaire 101.344,00 kwh/an</w:t>
      </w:r>
    </w:p>
    <w:p>
      <w:pPr>
        <w:pStyle w:val="Détail"/>
        <w:numPr>
          <w:ilvl w:val="0"/>
          <w:numId w:val="0"/>
        </w:numPr>
        <w:ind w:left="0" w:firstLine="0"/>
        <w:rPr>
          <w:rFonts w:ascii="Bahnschrift SemiLight" w:hAnsi="Bahnschrift SemiLight" w:eastAsia="Bahnschrift SemiLight"/>
          <w:b w:val="on"/>
          <w:color w:val="000000"/>
        </w:rPr>
      </w:pPr>
    </w:p>
    <w:p>
      <w:pPr>
        <w:pStyle w:val="Détail"/>
        <w:numPr>
          <w:ilvl w:val="0"/>
          <w:numId w:val="0"/>
        </w:numPr>
        <w:ind w:left="0" w:firstLine="0"/>
        <w:rPr>
          <w:rFonts w:ascii="Bahnschrift SemiLight" w:hAnsi="Bahnschrift SemiLight" w:eastAsia="Bahnschrift SemiLight"/>
          <w:b w:val="on"/>
          <w:color w:val="000000"/>
        </w:rPr>
      </w:pPr>
    </w:p>
    <w:p>
      <w:pPr>
        <w:pStyle w:val="Détail"/>
        <w:numPr>
          <w:ilvl w:val="0"/>
          <w:numId w:val="0"/>
        </w:numPr>
        <w:ind w:left="0" w:firstLine="0"/>
        <w:rPr>
          <w:rFonts w:ascii="Bahnschrift SemiLight" w:hAnsi="Bahnschrift SemiLight" w:eastAsia="Bahnschrift SemiLight"/>
          <w:b w:val="on"/>
          <w:color w:val="000000"/>
        </w:rPr>
      </w:pPr>
    </w:p>
    <w:p>
      <w:pPr>
        <w:pStyle w:val="Détail"/>
        <w:numPr>
          <w:ilvl w:val="0"/>
          <w:numId w:val="0"/>
        </w:numPr>
        <w:ind w:left="0" w:firstLine="0"/>
        <w:rPr>
          <w:rFonts w:ascii="Bahnschrift SemiLight" w:hAnsi="Bahnschrift SemiLight" w:eastAsia="Bahnschrift SemiLight"/>
          <w:b w:val="on"/>
          <w:color w:val="000000"/>
        </w:rPr>
      </w:pPr>
    </w:p>
    <w:p>
      <w:pPr>
        <w:pStyle w:val="Détail"/>
        <w:numPr>
          <w:ilvl w:val="0"/>
          <w:numId w:val="0"/>
        </w:numPr>
        <w:ind w:left="0" w:firstLine="0"/>
        <w:rPr>
          <w:rFonts w:ascii="Bahnschrift SemiLight" w:hAnsi="Bahnschrift SemiLight" w:eastAsia="Bahnschrift SemiLight"/>
          <w:b w:val="on"/>
          <w:color w:val="000000"/>
        </w:rPr>
      </w:pPr>
    </w:p>
    <w:p>
      <w:pPr>
        <w:pStyle w:val="Détail"/>
        <w:numPr>
          <w:ilvl w:val="0"/>
          <w:numId w:val="0"/>
        </w:numPr>
        <w:ind w:left="0" w:firstLine="0"/>
        <w:rPr>
          <w:rFonts w:ascii="Bahnschrift SemiLight" w:hAnsi="Bahnschrift SemiLight" w:eastAsia="Bahnschrift SemiLight"/>
          <w:b w:val="on"/>
          <w:color w:val="000000"/>
        </w:rPr>
      </w:pPr>
    </w:p>
    <w:p>
      <w:pPr>
        <w:pStyle w:val="Détail"/>
        <w:numPr>
          <w:ilvl w:val="0"/>
          <w:numId w:val="0"/>
        </w:numPr>
        <w:ind w:left="0" w:firstLine="0"/>
        <w:rPr>
          <w:rFonts w:ascii="Bahnschrift SemiLight" w:hAnsi="Bahnschrift SemiLight" w:eastAsia="Bahnschrift SemiLight"/>
          <w:b w:val="on"/>
          <w:color w:val="000000"/>
        </w:rPr>
      </w:pPr>
    </w:p>
    <w:p>
      <w:pPr>
        <w:pStyle w:val="Détail"/>
        <w:numPr>
          <w:ilvl w:val="0"/>
          <w:numId w:val="0"/>
        </w:numPr>
        <w:ind w:left="0" w:firstLine="0"/>
        <w:rPr>
          <w:rFonts w:ascii="Bahnschrift SemiLight" w:hAnsi="Bahnschrift SemiLight" w:eastAsia="Bahnschrift SemiLight"/>
          <w:b w:val="on"/>
          <w:color w:val="000000"/>
        </w:rPr>
      </w:pPr>
    </w:p>
    <w:p>
      <w:pPr>
        <w:pStyle w:val="Détail"/>
        <w:numPr>
          <w:ilvl w:val="0"/>
          <w:numId w:val="0"/>
        </w:numPr>
        <w:ind w:left="0" w:firstLine="0"/>
        <w:rPr>
          <w:rFonts w:ascii="Bahnschrift SemiLight" w:hAnsi="Bahnschrift SemiLight" w:eastAsia="Bahnschrift SemiLight"/>
          <w:b w:val="on"/>
          <w:color w:val="000000"/>
        </w:rPr>
      </w:pPr>
    </w:p>
    <w:p>
      <w:pPr>
        <w:pStyle w:val="Détail"/>
        <w:numPr>
          <w:ilvl w:val="0"/>
          <w:numId w:val="0"/>
        </w:numPr>
        <w:ind w:left="0" w:firstLine="0"/>
        <w:rPr>
          <w:rFonts w:ascii="Bahnschrift SemiLight" w:hAnsi="Bahnschrift SemiLight" w:eastAsia="Bahnschrift SemiLight"/>
          <w:b w:val="on"/>
          <w:color w:val="000000"/>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3048000" cy="22860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0480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828800" cy="24384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3048000" cy="22860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30480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438400" cy="18288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384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30480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286000" cy="3048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24384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895600" cy="211455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895600" cy="21145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895600" cy="211455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895600" cy="211455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3048000" cy="22860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3048000" cy="22860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24384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828800" cy="24384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1828800" cy="24384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1828800" cy="24384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1828800" cy="24384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25" name="_tx_id_25_"/>
            <a:graphic xmlns:a="http://schemas.openxmlformats.org/drawingml/2006/main">
              <a:graphicData uri="http://schemas.openxmlformats.org/drawingml/2006/picture">
                <pic:pic xmlns:pic="http://schemas.openxmlformats.org/drawingml/2006/picture">
                  <pic:nvPicPr>
                    <pic:cNvPr id="0" name="Image 25"/>
                    <pic:cNvPicPr/>
                  </pic:nvPicPr>
                  <pic:blipFill>
                    <a:blip r:embed="rId00029"/>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26" name="_tx_id_26_"/>
            <a:graphic xmlns:a="http://schemas.openxmlformats.org/drawingml/2006/main">
              <a:graphicData uri="http://schemas.openxmlformats.org/drawingml/2006/picture">
                <pic:pic xmlns:pic="http://schemas.openxmlformats.org/drawingml/2006/picture">
                  <pic:nvPicPr>
                    <pic:cNvPr id="0" name="Image 26"/>
                    <pic:cNvPicPr/>
                  </pic:nvPicPr>
                  <pic:blipFill>
                    <a:blip r:embed="rId00030"/>
                    <a:stretch>
                      <a:fillRect/>
                    </a:stretch>
                  </pic:blipFill>
                  <pic:spPr>
                    <a:xfrm>
                      <a:off x="0" y="0"/>
                      <a:ext cx="1828800" cy="24384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27" name="_tx_id_27_"/>
            <a:graphic xmlns:a="http://schemas.openxmlformats.org/drawingml/2006/main">
              <a:graphicData uri="http://schemas.openxmlformats.org/drawingml/2006/picture">
                <pic:pic xmlns:pic="http://schemas.openxmlformats.org/drawingml/2006/picture">
                  <pic:nvPicPr>
                    <pic:cNvPr id="0" name="Image 27"/>
                    <pic:cNvPicPr/>
                  </pic:nvPicPr>
                  <pic:blipFill>
                    <a:blip r:embed="rId00031"/>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28" name="_tx_id_28_"/>
            <a:graphic xmlns:a="http://schemas.openxmlformats.org/drawingml/2006/main">
              <a:graphicData uri="http://schemas.openxmlformats.org/drawingml/2006/picture">
                <pic:pic xmlns:pic="http://schemas.openxmlformats.org/drawingml/2006/picture">
                  <pic:nvPicPr>
                    <pic:cNvPr id="0" name="Image 28"/>
                    <pic:cNvPicPr/>
                  </pic:nvPicPr>
                  <pic:blipFill>
                    <a:blip r:embed="rId00032"/>
                    <a:stretch>
                      <a:fillRect/>
                    </a:stretch>
                  </pic:blipFill>
                  <pic:spPr>
                    <a:xfrm>
                      <a:off x="0" y="0"/>
                      <a:ext cx="24384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2438400"/>
            <wp:docPr id="29" name="_tx_id_29_"/>
            <a:graphic xmlns:a="http://schemas.openxmlformats.org/drawingml/2006/main">
              <a:graphicData uri="http://schemas.openxmlformats.org/drawingml/2006/picture">
                <pic:pic xmlns:pic="http://schemas.openxmlformats.org/drawingml/2006/picture">
                  <pic:nvPicPr>
                    <pic:cNvPr id="0" name="Image 29"/>
                    <pic:cNvPicPr/>
                  </pic:nvPicPr>
                  <pic:blipFill>
                    <a:blip r:embed="rId00033"/>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3048000" cy="2148840"/>
            <wp:docPr id="30" name="_tx_id_30_"/>
            <a:graphic xmlns:a="http://schemas.openxmlformats.org/drawingml/2006/main">
              <a:graphicData uri="http://schemas.openxmlformats.org/drawingml/2006/picture">
                <pic:pic xmlns:pic="http://schemas.openxmlformats.org/drawingml/2006/picture">
                  <pic:nvPicPr>
                    <pic:cNvPr id="0" name="Image 30"/>
                    <pic:cNvPicPr/>
                  </pic:nvPicPr>
                  <pic:blipFill>
                    <a:blip r:embed="rId00034"/>
                    <a:stretch>
                      <a:fillRect/>
                    </a:stretch>
                  </pic:blipFill>
                  <pic:spPr>
                    <a:xfrm>
                      <a:off x="0" y="0"/>
                      <a:ext cx="3048000" cy="214884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sectPr>
      <w:headerReference w:type="default" r:id="rId00035"/>
      <w:footerReference w:type="default" r:id="rId00036"/>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w:t>
          </w:r>
          <w:r>
            <w:rPr>
              <w:rFonts w:ascii="Bahnschrift SemiLight" w:hAnsi="Bahnschrift SemiLight" w:eastAsia="Bahnschrift SemiLight"/>
              <w:sz w:val="20"/>
            </w:rPr>
            <w:t xml:space="preserve">02 660 21 21 Site web : </w:t>
          </w:r>
          <w:r>
            <w:rPr>
              <w:rFonts w:ascii="Bahnschrift SemiLight" w:hAnsi="Bahnschrift SemiLight" w:eastAsia="Bahnschrift SemiLight"/>
              <w:sz w:val="20"/>
            </w:rPr>
            <w:t xml:space="preserve">http://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r>
            <w:rPr>
              <w:rFonts w:ascii="Trebuchet MS" w:hAnsi="Trebuchet MS" w:eastAsia="Trebuchet MS"/>
              <w:sz w:val="20"/>
            </w:rPr>
            <w:t xml:space="preserve">  </w:t>
          </w: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35" Type="http://schemas.openxmlformats.org/officeDocument/2006/relationships/header" Target="header0001.xml"/>
	<Relationship Id="rId0003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29" Type="http://schemas.openxmlformats.org/officeDocument/2006/relationships/image" Target="media/image0025.jpg"/>
	<Relationship Id="rId00030" Type="http://schemas.openxmlformats.org/officeDocument/2006/relationships/image" Target="media/image0026.jpg"/>
	<Relationship Id="rId00031" Type="http://schemas.openxmlformats.org/officeDocument/2006/relationships/image" Target="media/image0027.jpg"/>
	<Relationship Id="rId00032" Type="http://schemas.openxmlformats.org/officeDocument/2006/relationships/image" Target="media/image0028.jpg"/>
	<Relationship Id="rId00033" Type="http://schemas.openxmlformats.org/officeDocument/2006/relationships/image" Target="media/image0029.jpg"/>
	<Relationship Id="rId00034" Type="http://schemas.openxmlformats.org/officeDocument/2006/relationships/image" Target="media/image0030.jpg"/>
	<Relationship Id="rId00037" Type="http://schemas.openxmlformats.org/officeDocument/2006/relationships/numbering" Target="numbering.xml"/>
	<Relationship Id="rId00038" Type="http://schemas.openxmlformats.org/officeDocument/2006/relationships/fontTable" Target="fontTable.xml"/>
	<Relationship Id="rId0003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