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70"/>
        </w:rPr>
      </w:pPr>
      <w:r>
        <w:rPr>
          <w:rFonts w:ascii="Century Gothic" w:hAnsi="Century Gothic" w:eastAsia="Century Gothic"/>
          <w:b w:val="on"/>
          <w:color w:val="000000"/>
          <w:sz w:val="70"/>
        </w:rPr>
        <w:t xml:space="preserve">MAISON  réf 2618 B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  <w:r>
        <w:rPr>
          <w:rFonts w:ascii="Century Gothic" w:hAnsi="Century Gothic" w:eastAsia="Century Gothic"/>
          <w:b w:val="on"/>
          <w:color w:val="000000"/>
          <w:sz w:val="70"/>
        </w:rPr>
        <w:t xml:space="preserve">WATERMAEL BOITSFORT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instrText xml:space="preserve"> HYPERLINK "</w:instrTex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291840" cy="39014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Watermael-Boitsfort (réf 2574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Maison 3 façades en bon état général comprenant au RDC : un hall d'entrée - garage - buanderie - cave - 1er étage : hall - salon - salle à manger - cuisine avec accès terrasse et jardin - 2ème étage : hall de nuit - 3 chambres - salle de bains -  3ème étage : 1 chambre et grenier de rangement. Emplacement de parking avec jardinet à l'avant et un beau jardin à l'arrière  avec un accès latéral. Actuellement louée.  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719.000 €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Coloniale, 43 à 1170 Watermael-Boitsfort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1.536 €</w:t>
      </w:r>
    </w:p>
    <w:p>
      <w:pPr>
        <w:pStyle w:val="[Normal]"/>
        <w:widowControl w:val="on"/>
        <w:tabs>
          <w:tab w:val="left" w:pos="360"/>
          <w:tab w:val="clear" w:pos="15876"/>
        </w:tabs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141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60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Salon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Chaufferie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  <w:rPr>
          <w:b w:val="on"/>
        </w:rPr>
      </w:pPr>
      <w:r>
        <w:rPr>
          <w:b w:val="on"/>
        </w:rP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CO2 102,00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20240220-0000670732-01-7</w:t>
      </w:r>
    </w:p>
    <w:p>
      <w:pPr>
        <w:pStyle w:val="Détail"/>
        <w:numPr>
          <w:ilvl w:val="0"/>
          <w:numId w:val="3"/>
        </w:numPr>
      </w:pPr>
      <w:r>
        <w:t xml:space="preserve">Prestation énergétique 507,00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71.435,00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9"/>
      <w:footerReference w:type="default" r:id="rId0003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9" Type="http://schemas.openxmlformats.org/officeDocument/2006/relationships/header" Target="header0001.xml"/>
	<Relationship Id="rId0003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31" Type="http://schemas.openxmlformats.org/officeDocument/2006/relationships/numbering" Target="numbering.xml"/>
	<Relationship Id="rId00032" Type="http://schemas.openxmlformats.org/officeDocument/2006/relationships/fontTable" Target="fontTable.xml"/>
	<Relationship Id="rId0003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C:\Users\seb\CENTURY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