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ackground w:color="FFFFFF"/>
  <w:body>
    <w:p>
      <w:pPr>
        <w:pStyle w:val="[Normal]"/>
        <w:widowControl w:val="on"/>
        <w:rPr>
          <w:rFonts w:ascii="Trebuchet MS" w:hAnsi="Trebuchet MS" w:eastAsia="Trebuchet MS"/>
          <w:sz w:val="4"/>
        </w:rPr>
      </w:pPr>
    </w:p>
    <w:p>
      <w:pPr>
        <w:pStyle w:val="[Normal]"/>
        <w:widowControl w:val="on"/>
        <w:tabs>
          <w:tab w:val="left" w:pos="14740"/>
          <w:tab w:val="clear" w:pos="14742"/>
        </w:tabs>
        <w:ind w:right="651"/>
        <w:jc w:val="center"/>
        <w:rPr>
          <w:rFonts w:ascii="Trebuchet MS" w:hAnsi="Trebuchet MS" w:eastAsia="Trebuchet MS"/>
          <w:color w:val="000000"/>
          <w:sz w:val="40"/>
        </w:rPr>
      </w:pPr>
      <w:r>
        <w:drawing>
          <wp:anchor distT="0" distB="0" distL="0" distR="0" simplePos="0" relativeHeight="1000000" behindDoc="0" locked="0" layoutInCell="1" allowOverlap="1" hidden="false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9582150" cy="1395095"/>
            <wp:wrapSquare wrapText="bothSides"/>
            <wp:docPr id="1" name="_tx_id_1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/>
                  </pic:nvPicPr>
                  <pic:blipFill>
                    <a:blip r:embed="rId00005"/>
                    <a:stretch>
                      <a:fillRect/>
                    </a:stretch>
                  </pic:blipFill>
                  <pic:spPr>
                    <a:xfrm>
                      <a:off x="0" y="0"/>
                      <a:ext cx="9582150" cy="1395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[Normal]"/>
        <w:widowControl w:val="on"/>
        <w:tabs>
          <w:tab w:val="left" w:pos="14740"/>
          <w:tab w:val="clear" w:pos="14742"/>
        </w:tabs>
        <w:ind w:right="651"/>
        <w:jc w:val="center"/>
        <w:rPr>
          <w:rFonts w:ascii="Trebuchet MS" w:hAnsi="Trebuchet MS" w:eastAsia="Trebuchet MS"/>
          <w:color w:val="000000"/>
          <w:sz w:val="40"/>
        </w:rPr>
      </w:pPr>
    </w:p>
    <w:p>
      <w:pPr>
        <w:pStyle w:val="[Normal]"/>
        <w:widowControl w:val="on"/>
        <w:tabs>
          <w:tab w:val="left" w:pos="14740"/>
          <w:tab w:val="clear" w:pos="14742"/>
        </w:tabs>
        <w:ind w:right="651"/>
        <w:jc w:val="center"/>
        <w:rPr>
          <w:rFonts w:ascii="Trebuchet MS" w:hAnsi="Trebuchet MS" w:eastAsia="Trebuchet MS"/>
          <w:color w:val="000000"/>
          <w:sz w:val="40"/>
        </w:rPr>
      </w:pPr>
    </w:p>
    <w:p>
      <w:pPr>
        <w:pStyle w:val="[Normal]"/>
        <w:widowControl w:val="on"/>
        <w:tabs>
          <w:tab w:val="left" w:pos="14740"/>
          <w:tab w:val="clear" w:pos="14742"/>
        </w:tabs>
        <w:ind w:right="651"/>
        <w:jc w:val="center"/>
        <w:rPr>
          <w:rFonts w:ascii="Trebuchet MS" w:hAnsi="Trebuchet MS" w:eastAsia="Trebuchet MS"/>
          <w:color w:val="000000"/>
          <w:sz w:val="40"/>
        </w:rPr>
      </w:pPr>
    </w:p>
    <w:tbl>
      <w:tblPr>
        <w:tblW w:w="0" w:type="auto"/>
        <w:jc w:val="left"/>
        <w:tblInd w:w="36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15135"/>
      </w:tblGrid>
      <w:tr>
        <w:tc>
          <w:tcPr>
            <w:tcW w:w="15135" w:type="dxa"/>
            <w:shd w:val="clear" w:fill="FF8000"/>
            <w:vAlign w:val="top"/>
          </w:tcPr>
          <w:p>
            <w:pPr>
              <w:pStyle w:val="[Normal]"/>
              <w:widowControl w:val="on"/>
              <w:tabs>
                <w:tab w:val="left" w:pos="14740"/>
                <w:tab w:val="clear" w:pos="14742"/>
              </w:tabs>
              <w:ind w:right="651"/>
              <w:jc w:val="center"/>
              <w:rPr>
                <w:rFonts w:ascii="Trebuchet MS" w:hAnsi="Trebuchet MS" w:eastAsia="Trebuchet MS"/>
                <w:color w:val="000000"/>
                <w:sz w:val="40"/>
              </w:rPr>
            </w:pPr>
            <w:r>
              <w:rPr>
                <w:rFonts w:ascii="Trebuchet MS" w:hAnsi="Trebuchet MS" w:eastAsia="Trebuchet MS"/>
                <w:color w:val="000000"/>
                <w:sz w:val="200"/>
              </w:rPr>
              <w:t xml:space="preserve">E. de Parking</w:t>
            </w:r>
          </w:p>
        </w:tc>
      </w:tr>
      <w:tr>
        <w:tc>
          <w:tcPr>
            <w:tcW w:w="15135" w:type="dxa"/>
            <w:shd w:val="clear" w:fill="auto"/>
            <w:vAlign w:val="top"/>
          </w:tcPr>
          <w:p>
            <w:pPr>
              <w:pStyle w:val="[Normal]"/>
              <w:widowControl w:val="on"/>
              <w:tabs>
                <w:tab w:val="left" w:pos="14740"/>
                <w:tab w:val="clear" w:pos="14742"/>
              </w:tabs>
              <w:ind w:right="651"/>
              <w:jc w:val="center"/>
              <w:rPr>
                <w:rFonts w:ascii="Trebuchet MS" w:hAnsi="Trebuchet MS" w:eastAsia="Trebuchet MS"/>
                <w:color w:val="000000"/>
                <w:sz w:val="40"/>
              </w:rPr>
            </w:pPr>
            <w:r>
              <w:rPr>
                <w:rFonts w:ascii="Trebuchet MS" w:hAnsi="Trebuchet MS" w:eastAsia="Trebuchet MS"/>
                <w:color w:val="000000"/>
                <w:sz w:val="40"/>
              </w:rPr>
              <w:t xml:space="preserve">réf (2548 B-1) Ixelles : Emplacement de parking en sous-sol, couvert et sécurisé avec une superficie de 9,7m². </w:t>
            </w:r>
            <w:r>
              <w:rPr>
                <w:rFonts w:ascii="Trebuchet MS" w:hAnsi="Trebuchet MS" w:eastAsia="Trebuchet MS"/>
                <w:b w:val="on"/>
                <w:color w:val="000000"/>
                <w:sz w:val="40"/>
                <w:u w:val="single"/>
              </w:rPr>
              <w:t xml:space="preserve">95€/mois</w:t>
            </w:r>
            <w:r>
              <w:rPr>
                <w:rFonts w:ascii="Trebuchet MS" w:hAnsi="Trebuchet MS" w:eastAsia="Trebuchet MS"/>
                <w:color w:val="000000"/>
                <w:sz w:val="40"/>
              </w:rPr>
              <w:t xml:space="preserve"> Infos &amp; Visites CENTURY 21 Boondael 02/660.21.21 OU www.century21boondael.be</w:t>
            </w:r>
          </w:p>
        </w:tc>
      </w:tr>
      <w:tr>
        <w:tc>
          <w:tcPr>
            <w:tcW w:w="15135" w:type="dxa"/>
            <w:shd w:val="clear" w:fill="000000"/>
            <w:vAlign w:val="top"/>
          </w:tcPr>
          <w:p>
            <w:pPr>
              <w:pStyle w:val="[Normal]"/>
              <w:widowControl w:val="on"/>
              <w:tabs>
                <w:tab w:val="left" w:pos="14740"/>
                <w:tab w:val="clear" w:pos="14742"/>
              </w:tabs>
              <w:ind w:right="651"/>
              <w:jc w:val="center"/>
              <w:rPr>
                <w:rFonts w:ascii="Trebuchet MS" w:hAnsi="Trebuchet MS" w:eastAsia="Trebuchet MS"/>
                <w:color w:val="000000"/>
                <w:sz w:val="40"/>
              </w:rPr>
            </w:pPr>
            <w:r>
              <w:rPr>
                <w:rFonts w:ascii="Trebuchet MS" w:hAnsi="Trebuchet MS" w:eastAsia="Trebuchet MS"/>
                <w:color w:val="FF8000"/>
                <w:sz w:val="240"/>
              </w:rPr>
              <w:t xml:space="preserve">A LOUER</w:t>
            </w:r>
          </w:p>
        </w:tc>
      </w:tr>
    </w:tbl>
    <w:p>
      <w:pPr>
        <w:pStyle w:val="[Normal]"/>
        <w:widowControl w:val="on"/>
        <w:tabs>
          <w:tab w:val="left" w:pos="14740"/>
          <w:tab w:val="clear" w:pos="14742"/>
        </w:tabs>
        <w:ind w:right="651"/>
        <w:jc w:val="center"/>
        <w:rPr>
          <w:rFonts w:ascii="Trebuchet MS" w:hAnsi="Trebuchet MS" w:eastAsia="Trebuchet MS"/>
          <w:sz w:val="20"/>
        </w:rPr>
      </w:pPr>
      <w:r>
        <w:rPr>
          <w:rFonts w:ascii="Trebuchet MS" w:hAnsi="Trebuchet MS" w:eastAsia="Trebuchet MS"/>
          <w:sz w:val="20"/>
        </w:rPr>
        <w:t xml:space="preserve">Ce document est à titre informatif et non contractuel</w:t>
      </w:r>
    </w:p>
    <w:p>
      <w:pPr>
        <w:pStyle w:val="[Normal]"/>
        <w:widowControl w:val="on"/>
        <w:tabs>
          <w:tab w:val="left" w:pos="10771"/>
          <w:tab w:val="right" w:pos="14314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  <w:tab w:val="left" w:pos="23814"/>
          <w:tab w:val="left" w:pos="24948"/>
          <w:tab w:val="left" w:pos="26082"/>
          <w:tab w:val="left" w:pos="27216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</w:tabs>
        <w:ind w:right="651"/>
        <w:jc w:val="center"/>
        <w:rPr>
          <w:rFonts w:ascii="Trebuchet MS" w:hAnsi="Trebuchet MS" w:eastAsia="Trebuchet MS"/>
          <w:sz w:val="20"/>
        </w:rPr>
      </w:pPr>
      <w:r>
        <w:rPr>
          <w:rFonts w:ascii="Trebuchet MS" w:hAnsi="Trebuchet MS" w:eastAsia="Trebuchet MS"/>
          <w:sz w:val="20"/>
        </w:rPr>
        <w:t xml:space="preserve">Chaque agence est juridiquement et financièrement indépendante</w:t>
      </w:r>
    </w:p>
    <w:p>
      <w:pPr>
        <w:pStyle w:val="[Normal]"/>
        <w:widowControl w:val="on"/>
        <w:tabs>
          <w:tab w:val="left" w:pos="10771"/>
          <w:tab w:val="right" w:pos="14314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  <w:tab w:val="left" w:pos="23814"/>
          <w:tab w:val="left" w:pos="24948"/>
          <w:tab w:val="left" w:pos="26082"/>
          <w:tab w:val="left" w:pos="27216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</w:tabs>
        <w:ind w:right="651"/>
        <w:jc w:val="center"/>
        <w:rPr>
          <w:rFonts w:ascii="Trebuchet MS" w:hAnsi="Trebuchet MS" w:eastAsia="Trebuchet MS"/>
          <w:sz w:val="20"/>
        </w:rPr>
      </w:pPr>
    </w:p>
    <w:sectPr>
      <w:headerReference w:type="default" r:id="rId00006"/>
      <w:footerReference w:type="default" r:id="rId00007"/>
      <w:pgSz w:w="16837" w:h="11903" w:orient="landscape"/>
      <w:pgMar w:top="567" w:right="851" w:bottom="567" w:left="851" w:header="284" w:footer="284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Trebuchet MS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widowControl w:val="on"/>
      <w:tabs>
        <w:tab w:val="left" w:pos="15134"/>
        <w:tab w:val="clear" w:pos="15876"/>
      </w:tabs>
      <w:jc w:val="center"/>
      <w:rPr>
        <w:sz w:val="16"/>
      </w:rPr>
    </w:pP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widowControl w:val="on"/>
      <w:tabs>
        <w:tab w:val="left" w:pos="14173"/>
        <w:tab w:val="clear" w:pos="15876"/>
      </w:tabs>
      <w:jc w:val="center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basedOn w:val="[Normal]"/>
    <w:next w:val="Normal"/>
    <w:qFormat/>
    <w:pPr>
      <w:widowControl w:val="on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rFonts w:ascii="Times New Roman" w:hAnsi="Times New Roman" w:eastAsia="Times New Roman"/>
    </w:rPr>
  </w:style>
  <w:style w:type="paragraph" w:styleId="Détail">
    <w:name w:val="Détail"/>
    <w:basedOn w:val="Normal"/>
    <w:next w:val="Détail"/>
    <w:qFormat/>
    <w:pPr>
      <w:numPr>
        <w:ilvl w:val="0"/>
        <w:numId w:val="1"/>
      </w:numPr>
      <w:tabs>
        <w:tab w:val="left" w:pos="360"/>
      </w:tabs>
      <w:ind w:left="360" w:hanging="360"/>
    </w:pPr>
    <w:rPr>
      <w:rFonts w:ascii="Arial" w:hAnsi="Arial" w:eastAsia="Arial"/>
      <w:sz w:val="20"/>
    </w:rPr>
  </w:style>
  <w:style w:type="paragraph" w:styleId="Type de détail">
    <w:name w:val="Type de détail"/>
    <w:basedOn w:val="Normal"/>
    <w:next w:val="Détail"/>
    <w:qFormat/>
    <w:pPr/>
    <w:rPr>
      <w:rFonts w:ascii="Arial" w:hAnsi="Arial" w:eastAsia="Arial"/>
      <w:b w:val="on"/>
      <w:sz w:val="18"/>
      <w:u w:val="single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6" Type="http://schemas.openxmlformats.org/officeDocument/2006/relationships/header" Target="header0001.xml"/>
	<Relationship Id="rId00007" Type="http://schemas.openxmlformats.org/officeDocument/2006/relationships/footer" Target="footer0001.xml"/>
	<Relationship Id="rId00005" Type="http://schemas.openxmlformats.org/officeDocument/2006/relationships/image" Target="media/image0001.jpg"/>
	<Relationship Id="rId00008" Type="http://schemas.openxmlformats.org/officeDocument/2006/relationships/numbering" Target="numbering.xml"/>
	<Relationship Id="rId00009" Type="http://schemas.openxmlformats.org/officeDocument/2006/relationships/fontTable" Target="fontTable.xml"/>
	<Relationship Id="rId00010" Type="http://schemas.openxmlformats.org/officeDocument/2006/relationships/settings" Target="settings.xml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17.0.140.501</Application>
  <HyperlinkBase>C:\Users\INFO\CENTURY 21 Boondael\Century 21 Boondael - Documents\Activimmo\</HyperlinkBas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