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"http:///bien-7553.html"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 1ch rénové, vue parc!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Uccle (réf 2526 B) : Très bel appartement de 1 chambre en EXCELLENT ETAT - 3ème étage avec ascenseur - Hall d'entrée avec vestaire - chambre en parquet massif de 16 m², salle de bain (douche, wc, espace machine à laver et lavabo), beau salon en parquet massif de 24 m² avec accès terrasse de 9 m² et cuisine américaine - équipée (meuble - frigo - hoote tack vitro - lave-vaisselle. Parking aisé autour de la copropriété. 2 caves. PEB = D-. PROVISION DE CHARGES DE 150€/mois (eau ch - eau fr - chauffage - concierge - commun). LIBRE 1ER MARS 2024 - Infos &amp; Visites Century 21 Boondael 02/660.21.21 OU www.century21boondael.be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780 € + 150 €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l'Aulne, 108 à 1180 Uccle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60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9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Chambre 5,65 m x 2,89 m = 16,37 m²</w:t>
      </w:r>
    </w:p>
    <w:p>
      <w:pPr>
        <w:pStyle w:val="Détail"/>
        <w:numPr>
          <w:ilvl w:val="0"/>
          <w:numId w:val="3"/>
        </w:numPr>
      </w:pPr>
      <w:r>
        <w:t xml:space="preserve">Cuisine 2,23 m x 3,26 m = 7,28 m²</w:t>
      </w:r>
    </w:p>
    <w:p>
      <w:pPr>
        <w:pStyle w:val="Détail"/>
        <w:numPr>
          <w:ilvl w:val="0"/>
          <w:numId w:val="3"/>
        </w:numPr>
      </w:pPr>
      <w:r>
        <w:t xml:space="preserve">Hall  avec vestaire de 4,08 m²</w:t>
      </w:r>
    </w:p>
    <w:p>
      <w:pPr>
        <w:pStyle w:val="Détail"/>
        <w:numPr>
          <w:ilvl w:val="0"/>
          <w:numId w:val="3"/>
        </w:numPr>
      </w:pPr>
      <w:r>
        <w:t xml:space="preserve">Salle de bains Douche, wc, lavabo, espace pour machine à laver de 5 m²</w:t>
      </w:r>
    </w:p>
    <w:p>
      <w:pPr>
        <w:pStyle w:val="Détail"/>
        <w:numPr>
          <w:ilvl w:val="0"/>
          <w:numId w:val="3"/>
        </w:numPr>
      </w:pPr>
      <w:r>
        <w:t xml:space="preserve">Salon 6,45 m x 6,63 m = 23,45 m²</w:t>
      </w:r>
    </w:p>
    <w:p>
      <w:pPr>
        <w:pStyle w:val="Détail"/>
        <w:numPr>
          <w:ilvl w:val="0"/>
          <w:numId w:val="3"/>
        </w:numPr>
      </w:pPr>
      <w:r>
        <w:t xml:space="preserve">Vestiaire</w:t>
      </w:r>
    </w:p>
    <w:p>
      <w:pPr>
        <w:pStyle w:val="Type de détail"/>
      </w:pPr>
      <w:r>
        <w:t xml:space="preserve">Sous Sol (suite):</w:t>
      </w:r>
    </w:p>
    <w:p>
      <w:pPr>
        <w:pStyle w:val="Détail"/>
        <w:numPr>
          <w:ilvl w:val="0"/>
          <w:numId w:val="3"/>
        </w:numPr>
      </w:pPr>
      <w:r>
        <w:t xml:space="preserve">2 Cave</w:t>
      </w:r>
    </w:p>
    <w:p>
      <w:pPr>
        <w:pStyle w:val="Type de détail"/>
      </w:pPr>
      <w:r>
        <w:t xml:space="preserve">Vue:</w:t>
      </w:r>
    </w:p>
    <w:p>
      <w:pPr>
        <w:pStyle w:val="Détail"/>
        <w:numPr>
          <w:ilvl w:val="0"/>
          <w:numId w:val="3"/>
        </w:numPr>
      </w:pPr>
      <w:r>
        <w:t xml:space="preserve">Vue sur parc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6"/>
      <w:footerReference w:type="default" r:id="rId0000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