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E2578-095-2023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Estimation de votre bien immobilier : Maison/Immeuble de Rapport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sis Boulevard Général Jacques, 59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rPr>
          <w:rFonts w:ascii="Calibri" w:hAnsi="Calibri" w:eastAsia="Calibri"/>
          <w:sz w:val="24"/>
          <w:u w:val="single"/>
        </w:rPr>
      </w:pPr>
      <w:r>
        <w:rPr>
          <w:rFonts w:ascii="Calibri" w:hAnsi="Calibri" w:eastAsia="Calibri"/>
          <w:sz w:val="24"/>
          <w:u w:val="single"/>
        </w:rPr>
        <w:t xml:space="preserve">Situation géographique : </w:t>
      </w:r>
    </w:p>
    <w:p>
      <w:pPr>
        <w:pStyle w:val="Titre1"/>
        <w:rPr>
          <w:rFonts w:ascii="Calibri" w:hAnsi="Calibri" w:eastAsia="Calibri"/>
          <w:b w:val="off"/>
          <w:sz w:val="24"/>
        </w:rPr>
      </w:pPr>
    </w:p>
    <w:p>
      <w:pPr>
        <w:pStyle w:val="Titre1"/>
        <w:rPr>
          <w:rFonts w:ascii="Calibri" w:hAnsi="Calibri" w:eastAsia="Calibri"/>
          <w:b w:val="off"/>
          <w:sz w:val="24"/>
        </w:rPr>
      </w:pPr>
    </w:p>
    <w:p>
      <w:pPr>
        <w:pStyle w:val="Titre1"/>
        <w:jc w:val="both"/>
        <w:rPr>
          <w:rFonts w:ascii="Bahnschrift SemiLight" w:hAnsi="Bahnschrift SemiLight" w:eastAsia="Bahnschrift SemiLight"/>
          <w:sz w:val="24"/>
        </w:rPr>
      </w:pPr>
      <w:r>
        <w:object w:dxaOrig="8640"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432pt;height:273pt;" o:ole="" o:allowoverlap="f">
            <v:imagedata r:id="rId00005" o:title=""/>
          </v:shape>
          <o:OLEObject Type="Embed" ProgID="PBrush" ShapeID="_tx_id_1_" DrawAspect="Content" ObjectID="1" r:id="rId00006"/>
        </w:objec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Rue fortement fréquenté par le trafic routier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Rénovation entière de la maison/Immeuble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Vétusté des décors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Pas de garage, pas d'emplacement de parking privé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anciens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de caractère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Décors d'époque, moulures,cheminées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acoustique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écoles et université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Hauteur sous-plafond</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Volume confortable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divisée en 3 unités ( sous réserve de la confirmation de la commune d'Ixelles)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- 3 compteurs (electricité et gaz )</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Location facile</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PVC double vitrage (1999)</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Toiture en tuile à revoir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Poêle au gaz ancien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2eme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 SDB</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17,83m²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Salon</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16,85m²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Grenier</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29m²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46,87m²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22,58m²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SDB + 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7,21m²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54,05m²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15,35m²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à manger + 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34,68m²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bain</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 x 3,49m² = 6,98m²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71,53m²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Souplex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19,14m²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douche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2,44m²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51,51m²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Matrice et plan cadastral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8114" w:dyaOrig="4993">
          <v:shape id="_tx_id_2_" type="#_x0000_t75" style="width:405.7pt;height:249.6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4992" w:dyaOrig="5980">
          <v:shape id="_tx_id_3_" type="#_x0000_t75" style="width:249.6pt;height:299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625.000 €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650.000 €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675.000€</w:t>
      </w:r>
    </w:p>
    <w:p>
      <w:pPr>
        <w:pStyle w:val="Titre1"/>
        <w:jc w:val="both"/>
        <w:rPr>
          <w:rFonts w:ascii="Bahnschrift SemiLight" w:hAnsi="Bahnschrift SemiLight" w:eastAsia="Bahnschrift SemiLight"/>
          <w:color w:val="FF0000"/>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color w:val="FF0000"/>
          <w:sz w:val="24"/>
        </w:rPr>
        <w:t xml:space="preserve">Sous réserve que les Renseignements Urbanistiques de la commune d'Ixelles confirme le nombre d'unités.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DePauw,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Liuzzi Pietro</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Century21 Boondael</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0491197357</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 w:name="Calibri">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