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"bien-7532.html"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: réf 2520 B -  Magnifique STUDIO offrant vue sur verdure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2520 B) idéalement situé entre l'Avenue Louise et la rue du Prince Royale . Dans un immeuble rénové récemment, le studio se situe au 2eme étage comprenant: un hall d'entrée, cuisine, coin à dormir, salle de douche, WC. Plan du studio disponible. Idéale pour un investissement ( loué 650/mois et en airbnb entre 110€-190€/jour). Libre à l'acte. Infos &amp; Visites Century 21 Boondael 02/660.21.21 ou 0491.19.73.57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169.000 € + 250 €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Stassart, 47 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0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286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3048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30480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