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"bien-7508.html"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2507 B - Immeuble mixte fort potentiel à rénover</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2377440" cy="34747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377440" cy="347472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2507 B - Exclusivité Century21 Boondael - Immeuble mixte modulable comprenant: +/-120m² de surfaces commerciales + un bureau/ stockage de 180m² sur deux niveaux + un appartement au dernier étage de 70m², un jardin de +/- 120 m² en partie arrière orienté Ouest. L'ensemble développe environ 360m². La vitrine en façade s'étend sur près de 10 m et est sécurisé par un volet, très haut plafond dans l’ensemble de bâtiment. Des travaux de rénovation doivent être entrepris dans l’immeuble. Grand potentiel et de nombreuses possibilités pour un investisseur aguerri. Le bâtiment se situe à coté de la prestigieuse Avenue Louise et de nombreuses lignes de transport en communs. Boulangerie, fitness, 2 supermarchés et arrêt de tram Janson à 50m.. Actuellement vide. PEB G – Electricité à revoir Infos &amp; Visites Century 21 Boondael 02/660.21.21 OU 0491197357 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890.000 €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Chaussée de Charleroi 185 à 1060 Saint Gilles </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Ouest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Sans</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cadastrale n.i : 4144€</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360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120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RDC:</w:t>
      </w:r>
    </w:p>
    <w:p>
      <w:pPr>
        <w:pStyle w:val="Détail"/>
        <w:numPr>
          <w:ilvl w:val="0"/>
          <w:numId w:val="3"/>
        </w:numPr>
      </w:pPr>
      <w:r>
        <w:t xml:space="preserve">rez de chaussée commercial 120m²</w:t>
      </w:r>
    </w:p>
    <w:p>
      <w:pPr>
        <w:pStyle w:val="Type de détail"/>
        <w:tabs>
          <w:tab w:val="left" w:pos="360"/>
          <w:tab w:val="clear" w:pos="15876"/>
        </w:tabs>
      </w:pPr>
      <w:r>
        <w:t xml:space="preserve">1ère étage:</w:t>
      </w:r>
    </w:p>
    <w:p>
      <w:pPr>
        <w:pStyle w:val="Détail"/>
        <w:numPr>
          <w:ilvl w:val="0"/>
          <w:numId w:val="3"/>
        </w:numPr>
      </w:pPr>
      <w:r>
        <w:t xml:space="preserve">Bureau 92m²</w:t>
      </w:r>
    </w:p>
    <w:p>
      <w:pPr>
        <w:pStyle w:val="Type de détail"/>
        <w:tabs>
          <w:tab w:val="left" w:pos="360"/>
          <w:tab w:val="clear" w:pos="15876"/>
        </w:tabs>
      </w:pPr>
      <w:r>
        <w:t xml:space="preserve">2ème étage:</w:t>
      </w:r>
    </w:p>
    <w:p>
      <w:pPr>
        <w:pStyle w:val="Détail"/>
        <w:numPr>
          <w:ilvl w:val="0"/>
          <w:numId w:val="3"/>
        </w:numPr>
      </w:pPr>
      <w:r>
        <w:t xml:space="preserve">Bureau 90m²</w:t>
      </w:r>
    </w:p>
    <w:p>
      <w:pPr>
        <w:pStyle w:val="Type de détail"/>
        <w:tabs>
          <w:tab w:val="left" w:pos="360"/>
          <w:tab w:val="clear" w:pos="15876"/>
        </w:tabs>
      </w:pPr>
      <w:r>
        <w:t xml:space="preserve">Grenier:</w:t>
      </w:r>
    </w:p>
    <w:p>
      <w:pPr>
        <w:pStyle w:val="Détail"/>
        <w:numPr>
          <w:ilvl w:val="0"/>
          <w:numId w:val="3"/>
        </w:numPr>
      </w:pPr>
      <w:r>
        <w:t xml:space="preserve">Comble logement = 70m²</w:t>
      </w:r>
    </w:p>
    <w:p>
      <w:pPr>
        <w:pStyle w:val="Type de détail"/>
        <w:tabs>
          <w:tab w:val="left" w:pos="360"/>
          <w:tab w:val="clear" w:pos="15876"/>
        </w:tabs>
      </w:pPr>
      <w:r>
        <w:t xml:space="preserve">Sous Sol:</w:t>
      </w:r>
    </w:p>
    <w:p>
      <w:pPr>
        <w:pStyle w:val="Détail"/>
        <w:numPr>
          <w:ilvl w:val="0"/>
          <w:numId w:val="3"/>
        </w:numPr>
      </w:pPr>
      <w:r>
        <w:t xml:space="preserve">Cave</w:t>
      </w:r>
    </w:p>
    <w:p>
      <w:pPr>
        <w:pStyle w:val="Type de détail"/>
        <w:tabs>
          <w:tab w:val="left" w:pos="360"/>
          <w:tab w:val="clear" w:pos="15876"/>
        </w:tabs>
      </w:pPr>
      <w:r>
        <w:t xml:space="preserve">Sous Sol (suite):</w:t>
      </w:r>
    </w:p>
    <w:p>
      <w:pPr>
        <w:pStyle w:val="Détail"/>
        <w:numPr>
          <w:ilvl w:val="0"/>
          <w:numId w:val="3"/>
        </w:numPr>
      </w:pPr>
      <w:r>
        <w:t xml:space="preserve">Cave à vin</w:t>
      </w:r>
    </w:p>
    <w:p>
      <w:pPr>
        <w:pStyle w:val="Détail"/>
        <w:numPr>
          <w:ilvl w:val="0"/>
          <w:numId w:val="3"/>
        </w:numPr>
      </w:pPr>
      <w:r>
        <w:t xml:space="preserve">Kot</w:t>
      </w:r>
    </w:p>
    <w:p>
      <w:pPr>
        <w:pStyle w:val="Type de détail"/>
        <w:tabs>
          <w:tab w:val="left" w:pos="360"/>
          <w:tab w:val="clear" w:pos="15876"/>
        </w:tabs>
      </w:pPr>
      <w:r>
        <w:t xml:space="preserve">Pièces diverses:</w:t>
      </w:r>
    </w:p>
    <w:p>
      <w:pPr>
        <w:pStyle w:val="Détail"/>
        <w:numPr>
          <w:ilvl w:val="0"/>
          <w:numId w:val="3"/>
        </w:numPr>
      </w:pPr>
      <w:r>
        <w:t xml:space="preserve">Chaufferie</w:t>
      </w:r>
    </w:p>
    <w:p>
      <w:pPr>
        <w:pStyle w:val="Détail"/>
        <w:numPr>
          <w:ilvl w:val="0"/>
          <w:numId w:val="3"/>
        </w:numPr>
      </w:pPr>
      <w:r>
        <w:t xml:space="preserve">Conciergerie</w:t>
      </w:r>
    </w:p>
    <w:p>
      <w:pPr>
        <w:pStyle w:val="Type de détail"/>
        <w:tabs>
          <w:tab w:val="left" w:pos="360"/>
          <w:tab w:val="clear" w:pos="15876"/>
        </w:tabs>
      </w:pPr>
      <w:r>
        <w:t xml:space="preserve">Terrain:</w:t>
      </w:r>
    </w:p>
    <w:p>
      <w:pPr>
        <w:pStyle w:val="Détail"/>
        <w:numPr>
          <w:ilvl w:val="0"/>
          <w:numId w:val="3"/>
        </w:numPr>
      </w:pPr>
      <w:r>
        <w:t xml:space="preserve">Jardin</w:t>
      </w:r>
    </w:p>
    <w:p>
      <w:pPr>
        <w:pStyle w:val="Type de détail"/>
        <w:tabs>
          <w:tab w:val="left" w:pos="360"/>
          <w:tab w:val="clear" w:pos="15876"/>
        </w:tabs>
      </w:pPr>
      <w:r>
        <w:t xml:space="preserve">Equipements Electrique:</w:t>
      </w:r>
    </w:p>
    <w:p>
      <w:pPr>
        <w:pStyle w:val="Détail"/>
        <w:numPr>
          <w:ilvl w:val="0"/>
          <w:numId w:val="3"/>
        </w:numPr>
      </w:pPr>
      <w:r>
        <w:t xml:space="preserve">Alarme</w:t>
      </w:r>
    </w:p>
    <w:p>
      <w:pPr>
        <w:pStyle w:val="Type de détail"/>
        <w:tabs>
          <w:tab w:val="left" w:pos="360"/>
          <w:tab w:val="clear" w:pos="15876"/>
        </w:tabs>
      </w:pPr>
      <w:r>
        <w:t xml:space="preserve">Equipements divers:</w:t>
      </w:r>
    </w:p>
    <w:p>
      <w:pPr>
        <w:pStyle w:val="Détail"/>
        <w:numPr>
          <w:ilvl w:val="0"/>
          <w:numId w:val="3"/>
        </w:numPr>
      </w:pPr>
      <w:r>
        <w:t xml:space="preserve">Volet</w:t>
      </w:r>
    </w:p>
    <w:p>
      <w:pPr>
        <w:pStyle w:val="Type de détail"/>
        <w:tabs>
          <w:tab w:val="left" w:pos="360"/>
          <w:tab w:val="clear" w:pos="15876"/>
        </w:tabs>
      </w:pPr>
      <w:r>
        <w:t xml:space="preserve">Fenêtres:</w:t>
      </w:r>
    </w:p>
    <w:p>
      <w:pPr>
        <w:pStyle w:val="Détail"/>
        <w:numPr>
          <w:ilvl w:val="0"/>
          <w:numId w:val="3"/>
        </w:numPr>
      </w:pPr>
      <w:r>
        <w:t xml:space="preserve">PVC double vitrage</w:t>
      </w:r>
    </w:p>
    <w:p>
      <w:pPr>
        <w:pStyle w:val="Type de détail"/>
        <w:tabs>
          <w:tab w:val="left" w:pos="360"/>
          <w:tab w:val="clear" w:pos="15876"/>
        </w:tabs>
      </w:pPr>
      <w:r>
        <w:t xml:space="preserve">Certifications:</w:t>
      </w:r>
    </w:p>
    <w:p>
      <w:pPr>
        <w:pStyle w:val="Détail"/>
        <w:numPr>
          <w:ilvl w:val="0"/>
          <w:numId w:val="3"/>
        </w:numPr>
      </w:pPr>
      <w:r>
        <w:t xml:space="preserve">Emissions CO2 90,00 Kg Co2m²an</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sectPr>
      <w:headerReference w:type="default" r:id="rId00029"/>
      <w:footerReference w:type="default" r:id="rId00030"/>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clear" w:pos="10206"/>
              <w:tab w:val="clear" w:pos="11340"/>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clear" w:pos="10206"/>
              <w:tab w:val="clear" w:pos="11340"/>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clear" w:pos="10206"/>
              <w:tab w:val="clear" w:pos="11340"/>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9" Type="http://schemas.openxmlformats.org/officeDocument/2006/relationships/header" Target="header0001.xml"/>
	<Relationship Id="rId0003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31" Type="http://schemas.openxmlformats.org/officeDocument/2006/relationships/numbering" Target="numbering.xml"/>
	<Relationship Id="rId00032" Type="http://schemas.openxmlformats.org/officeDocument/2006/relationships/fontTable" Target="fontTable.xml"/>
	<Relationship Id="rId0003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