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"http:///bien-7491.html"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Réf (2498 B) Quartier ULB - 4ch avec cour/jardin S-O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2498 B) Quartier cimetière IXL - dans une rue arborée, à sens unique et calme - Très bonne maison unifamiliale saine de 1918 en bon état d'entretrien mais à rafraîchir - proximité des école, ULB-VUB, des commerces, des transports et des restaurants sans en être incommodé! Hall d'entrée, salon et sàlle à manger carrelé (42 m² composé de 3 pièces en enfilade), cuisine semi-équipée (11 m²), 4 chambres (15 - 22 - 15 - 12 + grenier aménageable, 2 salles de douche, 3 wc. Cour/jardin de 40 m² S-O. Cave sèche sous la maison. Convecteurs gaz et double vitrage. LIBRE à l'ACTE. PEB = G.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625.000 €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Elise, 5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unifamiliale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Hauteur plafond : 2m70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Largeur façade : 5,23 m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4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S-O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Semi-équipée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Convecteurs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1918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1006€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/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195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Cuisine semi-équipée 4,10 x 2,59 = 10,66 m²</w:t>
      </w:r>
    </w:p>
    <w:p>
      <w:pPr>
        <w:pStyle w:val="Détail"/>
        <w:numPr>
          <w:ilvl w:val="0"/>
          <w:numId w:val="3"/>
        </w:numPr>
      </w:pPr>
      <w:r>
        <w:t xml:space="preserve">Hall  d'entrée</w:t>
      </w:r>
    </w:p>
    <w:p>
      <w:pPr>
        <w:pStyle w:val="Détail"/>
        <w:numPr>
          <w:ilvl w:val="0"/>
          <w:numId w:val="3"/>
        </w:numPr>
      </w:pPr>
      <w:r>
        <w:t xml:space="preserve">Salon et salle à manger en 3 pièce en enfilades pour 42 m²</w:t>
      </w:r>
    </w:p>
    <w:p>
      <w:pPr>
        <w:pStyle w:val="Type de détail"/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2 Chambres CH1 : 3,38 x 3,24 = 14,38 m² - CH2 : 5,17 x 4,14 = 21,33 m²</w:t>
      </w:r>
    </w:p>
    <w:p>
      <w:pPr>
        <w:pStyle w:val="Type de détail"/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2 Chambres CH3 : 4,37 x 3,39 = 14,86 m² - CH4 : 4,19 x 2,99 = 12,52 m²</w:t>
      </w:r>
    </w:p>
    <w:p>
      <w:pPr>
        <w:pStyle w:val="Détail"/>
        <w:numPr>
          <w:ilvl w:val="0"/>
          <w:numId w:val="3"/>
        </w:numPr>
      </w:pPr>
      <w:r>
        <w:t xml:space="preserve">Cuisine 2,99 x 2,10 = 6,29 m²</w:t>
      </w:r>
    </w:p>
    <w:p>
      <w:pPr>
        <w:pStyle w:val="Détail"/>
        <w:numPr>
          <w:ilvl w:val="0"/>
          <w:numId w:val="3"/>
        </w:numPr>
      </w:pPr>
      <w:r>
        <w:t xml:space="preserve">Salle d'eau cabine de douche à côté de la cuisine</w:t>
      </w:r>
    </w:p>
    <w:p>
      <w:pPr>
        <w:pStyle w:val="Type de détail"/>
      </w:pPr>
      <w:r>
        <w:t xml:space="preserve">Entresol:</w:t>
      </w:r>
    </w:p>
    <w:p>
      <w:pPr>
        <w:pStyle w:val="Détail"/>
        <w:numPr>
          <w:ilvl w:val="0"/>
          <w:numId w:val="3"/>
        </w:numPr>
      </w:pPr>
      <w:r>
        <w:t xml:space="preserve">Salle de bains douche avec lavabo et wc + 1 wc séparé</w:t>
      </w:r>
    </w:p>
    <w:p>
      <w:pPr>
        <w:pStyle w:val="Type de détail"/>
      </w:pPr>
      <w:r>
        <w:t xml:space="preserve">Equipements de Cuisine (suite):</w:t>
      </w:r>
    </w:p>
    <w:p>
      <w:pPr>
        <w:pStyle w:val="Détail"/>
        <w:numPr>
          <w:ilvl w:val="0"/>
          <w:numId w:val="3"/>
        </w:numPr>
      </w:pPr>
      <w:r>
        <w:t xml:space="preserve">Cuisinière au gaz</w:t>
      </w:r>
    </w:p>
    <w:p>
      <w:pPr>
        <w:pStyle w:val="Détail"/>
        <w:numPr>
          <w:ilvl w:val="0"/>
          <w:numId w:val="3"/>
        </w:numPr>
      </w:pPr>
      <w:r>
        <w:t xml:space="preserve">Frigo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Evier</w:t>
      </w:r>
    </w:p>
    <w:p>
      <w:pPr>
        <w:pStyle w:val="Type de détail"/>
      </w:pPr>
      <w:r>
        <w:t xml:space="preserve">Equipements Electrique:</w:t>
      </w:r>
    </w:p>
    <w:p>
      <w:pPr>
        <w:pStyle w:val="Détail"/>
        <w:numPr>
          <w:ilvl w:val="0"/>
          <w:numId w:val="3"/>
        </w:numPr>
      </w:pPr>
      <w:r>
        <w:t xml:space="preserve">Eclairage jardin</w:t>
      </w:r>
    </w:p>
    <w:p>
      <w:pPr>
        <w:pStyle w:val="Type de détail"/>
      </w:pPr>
      <w:r>
        <w:t xml:space="preserve">Fenêtres:</w:t>
      </w:r>
    </w:p>
    <w:p>
      <w:pPr>
        <w:pStyle w:val="Détail"/>
        <w:numPr>
          <w:ilvl w:val="0"/>
          <w:numId w:val="3"/>
        </w:numPr>
      </w:pPr>
      <w:r>
        <w:t xml:space="preserve">PVC double vitrage</w:t>
      </w:r>
    </w:p>
    <w:p>
      <w:pPr>
        <w:pStyle w:val="Type de détail"/>
      </w:pPr>
      <w:r>
        <w:t xml:space="preserve">Sol:</w:t>
      </w:r>
    </w:p>
    <w:p>
      <w:pPr>
        <w:pStyle w:val="Détail"/>
        <w:numPr>
          <w:ilvl w:val="0"/>
          <w:numId w:val="3"/>
        </w:numPr>
      </w:pPr>
      <w:r>
        <w:t xml:space="preserve">Carrelage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