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"bien-7478.html"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Immeuble : 2 unités reconnues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Jette (2492 B) :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Proximité Place du Miroir/Reine Astrid -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Immeuble de rapport composé de 2 unnités reconnues :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2 appartements 2 chambres de +- 60 m² chacun et avec terrasse. Revenu locatif actuel hors charges (amélioration possible car locataires présents depuis plusieurs années) : </w:t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13.970,64€/an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. Chaudière commune au mazout entretenue chaque année. Possibilité d'acquérir également l'immeuble voisin (5 unités). Contactez-nous pour obtenir le dossier complet ainsi que vous organiser une visite !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: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390.000 €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Démosthène Poplimont, 40 à 1090 Jette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Immeuble de rapport (2 unités reconnues)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chambres : 4 (2 appartements 2 chambres)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Non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Oui, 1 par appartement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Non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terrasses : 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commune au mazout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1949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Précompte immobilier : 2.056 €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hors charges : 1.164,22 € (1er étage : 514,22€ - 2ème étage : 650€)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Revenue locatif annuel hors charges : 13.970,64 €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+- 120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5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Toilette séparée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Type de détail"/>
        <w:tabs>
          <w:tab w:val="left" w:pos="360"/>
          <w:tab w:val="clear" w:pos="15876"/>
        </w:tabs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de bain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Toilette séparée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2 caves</w:t>
      </w:r>
    </w:p>
    <w:p>
      <w:pPr>
        <w:pStyle w:val="Détail"/>
        <w:numPr>
          <w:ilvl w:val="0"/>
          <w:numId w:val="3"/>
        </w:numPr>
      </w:pPr>
      <w:r>
        <w:t xml:space="preserve">Pièce chaufferie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1er étage :</w:t>
      </w:r>
    </w:p>
    <w:p>
      <w:pPr>
        <w:pStyle w:val="Détail"/>
        <w:numPr>
          <w:ilvl w:val="0"/>
          <w:numId w:val="3"/>
        </w:numPr>
      </w:pPr>
      <w:r>
        <w:t xml:space="preserve">Emissions CO2 79,00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20160524-0000337716-01-0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285,00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19.136,00 kwh/an</w:t>
      </w:r>
    </w:p>
    <w:p>
      <w:pPr>
        <w:pStyle w:val="Détail"/>
        <w:numPr>
          <w:ilvl w:val="0"/>
          <w:numId w:val="3"/>
        </w:numPr>
      </w:pPr>
      <w:r>
        <w:t xml:space="preserve">F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PEB 2ème étage :</w:t>
      </w:r>
    </w:p>
    <w:p>
      <w:pPr>
        <w:pStyle w:val="Détail"/>
        <w:numPr>
          <w:ilvl w:val="0"/>
          <w:numId w:val="3"/>
        </w:numPr>
      </w:pPr>
      <w:r>
        <w:t xml:space="preserve">Emissions CO2 235,00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20160524-0000337723-01-5</w:t>
      </w:r>
    </w:p>
    <w:p>
      <w:pPr>
        <w:pStyle w:val="Détail"/>
        <w:numPr>
          <w:ilvl w:val="0"/>
          <w:numId w:val="3"/>
        </w:numPr>
      </w:pPr>
      <w:r>
        <w:t xml:space="preserve">Prestation énergétique 795,00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53.898,00 kwh/an</w:t>
      </w:r>
    </w:p>
    <w:p>
      <w:pPr>
        <w:pStyle w:val="Détail"/>
        <w:numPr>
          <w:ilvl w:val="0"/>
          <w:numId w:val="3"/>
        </w:numPr>
      </w:pPr>
      <w:r>
        <w:t xml:space="preserve">G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du 2ème étage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828800" cy="24384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Appartement du 1er étage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      </w:t>
      </w: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	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7145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			</w:t>
      </w:r>
      <w:r>
        <w:drawing>
          <wp:inline distT="0" distB="0" distL="0" distR="0">
            <wp:extent cx="17145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  <w:u w:val="single"/>
        </w:rPr>
        <w:t xml:space="preserve">Etrait des Renseignements Urbanistiques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6524625" cy="923925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1"/>
      <w:footerReference w:type="default" r:id="rId00022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- Tél : 02 660 21 21 - Site web : http:// www.century21boondael.be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dylan@century21boondael.be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right"/>
            <w:rPr>
              <w:rFonts w:ascii="Trebuchet MS" w:hAnsi="Trebuchet MS" w:eastAsia="Trebuchet MS"/>
              <w:sz w:val="20"/>
              <w:u w:val="single"/>
            </w:rPr>
          </w:pP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  <w:u w:val="single"/>
            </w:rPr>
            <w:t xml:space="preserve">Contact : 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 Tanghe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0479/43.33.95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dylan@century21boondael.be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1" Type="http://schemas.openxmlformats.org/officeDocument/2006/relationships/header" Target="header0001.xml"/>
	<Relationship Id="rId00022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3" Type="http://schemas.openxmlformats.org/officeDocument/2006/relationships/numbering" Target="numbering.xml"/>
	<Relationship Id="rId00024" Type="http://schemas.openxmlformats.org/officeDocument/2006/relationships/fontTable" Target="fontTable.xml"/>
	<Relationship Id="rId00025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  <HyperlinkBase>C:\Users\Dylan\CENTURY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