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"bien-7465.html"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Réf  2559 B - Maison deux unités</w:t>
      </w: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2286000" cy="30480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Ixelles (réf 2559 B) Entre Fernand Cocq et Flagey, belle maison de 150m² comprenant au rez-de-chaussée en Duplex : un hall d'entrée - salon - salle à manger – cuisine, à l’étage une chambre, un bureau/chambre enfant, salle de bain. 1er étage : salon/salle à manger - 1 chambre - une salle de bain - cuisine. 2ème étage comble : salon/salle à manger - chambre -salle de douche - cuisine. Caves + compteurs pour chaque appartements. Demande de permis octroyé pour deux Duplex. Nombreuses possibilités. Infos &amp; Visites CENTURY 21 Boondael 02/660.21.21 – 0491.19.73.57 ou www.century21boondael.be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530.000 €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Rue du Conseil, 62  à 1050 Ixelles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Affectation du bien : immeuble de rapport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4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3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Aménagée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Gaz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150 m²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RDC:</w:t>
      </w:r>
    </w:p>
    <w:p>
      <w:pPr>
        <w:pStyle w:val="Détail"/>
        <w:numPr>
          <w:ilvl w:val="0"/>
          <w:numId w:val="3"/>
        </w:numPr>
      </w:pPr>
      <w:r>
        <w:t xml:space="preserve">Cuisine</w:t>
      </w:r>
    </w:p>
    <w:p>
      <w:pPr>
        <w:pStyle w:val="Détail"/>
        <w:numPr>
          <w:ilvl w:val="0"/>
          <w:numId w:val="3"/>
        </w:numPr>
      </w:pPr>
      <w:r>
        <w:t xml:space="preserve">Hall</w:t>
      </w:r>
    </w:p>
    <w:p>
      <w:pPr>
        <w:pStyle w:val="Détail"/>
        <w:numPr>
          <w:ilvl w:val="0"/>
          <w:numId w:val="3"/>
        </w:numPr>
      </w:pPr>
      <w:r>
        <w:t xml:space="preserve">Salle à manger</w:t>
      </w:r>
    </w:p>
    <w:p>
      <w:pPr>
        <w:pStyle w:val="Détail"/>
        <w:numPr>
          <w:ilvl w:val="0"/>
          <w:numId w:val="3"/>
        </w:numPr>
      </w:pPr>
      <w:r>
        <w:t xml:space="preserve">Séjour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1ère étage:</w:t>
      </w:r>
    </w:p>
    <w:p>
      <w:pPr>
        <w:pStyle w:val="Détail"/>
        <w:numPr>
          <w:ilvl w:val="0"/>
          <w:numId w:val="3"/>
        </w:numPr>
      </w:pPr>
      <w:r>
        <w:t xml:space="preserve">Bureau</w:t>
      </w:r>
    </w:p>
    <w:p>
      <w:pPr>
        <w:pStyle w:val="Détail"/>
        <w:numPr>
          <w:ilvl w:val="0"/>
          <w:numId w:val="3"/>
        </w:numPr>
      </w:pPr>
      <w:r>
        <w:t xml:space="preserve">Chambre</w:t>
      </w:r>
    </w:p>
    <w:p>
      <w:pPr>
        <w:pStyle w:val="Détail"/>
        <w:numPr>
          <w:ilvl w:val="0"/>
          <w:numId w:val="3"/>
        </w:numPr>
      </w:pPr>
      <w:r>
        <w:t xml:space="preserve">Salle de bains</w:t>
      </w:r>
    </w:p>
    <w:p>
      <w:pPr>
        <w:pStyle w:val="Détail"/>
        <w:numPr>
          <w:ilvl w:val="0"/>
          <w:numId w:val="3"/>
        </w:numPr>
      </w:pPr>
      <w:r>
        <w:t xml:space="preserve">WC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2ème étage:</w:t>
      </w:r>
    </w:p>
    <w:p>
      <w:pPr>
        <w:pStyle w:val="Détail"/>
        <w:numPr>
          <w:ilvl w:val="0"/>
          <w:numId w:val="3"/>
        </w:numPr>
      </w:pPr>
      <w:r>
        <w:t xml:space="preserve">Chambre</w:t>
      </w:r>
    </w:p>
    <w:p>
      <w:pPr>
        <w:pStyle w:val="Détail"/>
        <w:numPr>
          <w:ilvl w:val="0"/>
          <w:numId w:val="3"/>
        </w:numPr>
      </w:pPr>
      <w:r>
        <w:t xml:space="preserve">Cuisine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2ème étage (suite):</w:t>
      </w:r>
    </w:p>
    <w:p>
      <w:pPr>
        <w:pStyle w:val="Détail"/>
        <w:numPr>
          <w:ilvl w:val="0"/>
          <w:numId w:val="3"/>
        </w:numPr>
      </w:pPr>
      <w:r>
        <w:t xml:space="preserve">Salle de bain</w:t>
      </w:r>
    </w:p>
    <w:p>
      <w:pPr>
        <w:pStyle w:val="Détail"/>
        <w:numPr>
          <w:ilvl w:val="0"/>
          <w:numId w:val="3"/>
        </w:numPr>
      </w:pPr>
      <w:r>
        <w:t xml:space="preserve">Séjour</w:t>
      </w:r>
    </w:p>
    <w:p>
      <w:pPr>
        <w:pStyle w:val="Détail"/>
        <w:numPr>
          <w:ilvl w:val="0"/>
          <w:numId w:val="3"/>
        </w:numPr>
      </w:pPr>
      <w:r>
        <w:t xml:space="preserve">WC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3ème étage:</w:t>
      </w:r>
    </w:p>
    <w:p>
      <w:pPr>
        <w:pStyle w:val="Détail"/>
        <w:numPr>
          <w:ilvl w:val="0"/>
          <w:numId w:val="3"/>
        </w:numPr>
      </w:pPr>
      <w:r>
        <w:t xml:space="preserve">Chambre</w:t>
      </w:r>
    </w:p>
    <w:p>
      <w:pPr>
        <w:pStyle w:val="Détail"/>
        <w:numPr>
          <w:ilvl w:val="0"/>
          <w:numId w:val="3"/>
        </w:numPr>
      </w:pPr>
      <w:r>
        <w:t xml:space="preserve">Cuisine</w:t>
      </w:r>
    </w:p>
    <w:p>
      <w:pPr>
        <w:pStyle w:val="Détail"/>
        <w:numPr>
          <w:ilvl w:val="0"/>
          <w:numId w:val="3"/>
        </w:numPr>
      </w:pPr>
      <w:r>
        <w:t xml:space="preserve">Salle à manger</w:t>
      </w:r>
    </w:p>
    <w:p>
      <w:pPr>
        <w:pStyle w:val="Détail"/>
        <w:numPr>
          <w:ilvl w:val="0"/>
          <w:numId w:val="3"/>
        </w:numPr>
      </w:pPr>
      <w:r>
        <w:t xml:space="preserve">Salle de bains</w:t>
      </w:r>
    </w:p>
    <w:p>
      <w:pPr>
        <w:pStyle w:val="Détail"/>
        <w:numPr>
          <w:ilvl w:val="0"/>
          <w:numId w:val="3"/>
        </w:numPr>
      </w:pPr>
      <w:r>
        <w:t xml:space="preserve">Séjour</w:t>
      </w:r>
    </w:p>
    <w:p>
      <w:pPr>
        <w:pStyle w:val="Détail"/>
        <w:numPr>
          <w:ilvl w:val="0"/>
          <w:numId w:val="3"/>
        </w:numPr>
      </w:pPr>
      <w:r>
        <w:t xml:space="preserve">WC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Sous Sol:</w:t>
      </w:r>
    </w:p>
    <w:p>
      <w:pPr>
        <w:pStyle w:val="Détail"/>
        <w:numPr>
          <w:ilvl w:val="0"/>
          <w:numId w:val="3"/>
        </w:numPr>
      </w:pPr>
      <w:r>
        <w:t xml:space="preserve">Cave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Equipements de Cuisine:</w:t>
      </w:r>
    </w:p>
    <w:p>
      <w:pPr>
        <w:pStyle w:val="Détail"/>
        <w:numPr>
          <w:ilvl w:val="0"/>
          <w:numId w:val="3"/>
        </w:numPr>
      </w:pPr>
      <w:r>
        <w:t xml:space="preserve">Cuisinière au gaz</w:t>
      </w:r>
    </w:p>
    <w:p>
      <w:pPr>
        <w:pStyle w:val="Détail"/>
        <w:numPr>
          <w:ilvl w:val="0"/>
          <w:numId w:val="3"/>
        </w:num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2438400" cy="18288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1828800" cy="24384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1828800" cy="24384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18" name="_tx_id_1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/>
                  </pic:nvPicPr>
                  <pic:blipFill>
                    <a:blip r:embed="rId00022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19" name="_tx_id_1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/>
                  </pic:nvPicPr>
                  <pic:blipFill>
                    <a:blip r:embed="rId00023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 </w:t>
      </w:r>
      <w:r>
        <w:drawing>
          <wp:inline distT="0" distB="0" distL="0" distR="0">
            <wp:extent cx="1828800" cy="2438400"/>
            <wp:docPr id="20" name="_tx_id_2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/>
                  </pic:nvPicPr>
                  <pic:blipFill>
                    <a:blip r:embed="rId0002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21" name="_tx_id_2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/>
                  </pic:nvPicPr>
                  <pic:blipFill>
                    <a:blip r:embed="rId00025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 </w:t>
      </w:r>
      <w:r>
        <w:drawing>
          <wp:inline distT="0" distB="0" distL="0" distR="0">
            <wp:extent cx="1828800" cy="2438400"/>
            <wp:docPr id="22" name="_tx_id_2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"/>
                    <pic:cNvPicPr/>
                  </pic:nvPicPr>
                  <pic:blipFill>
                    <a:blip r:embed="rId0002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sectPr>
      <w:headerReference w:type="default" r:id="rId00027"/>
      <w:footerReference w:type="default" r:id="rId00028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clear" w:pos="10206"/>
              <w:tab w:val="clear" w:pos="11340"/>
              <w:tab w:val="clear" w:pos="12474"/>
            </w:tabs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http:// www.century21.be</w:t>
          </w:r>
        </w:p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clear" w:pos="10206"/>
              <w:tab w:val="clear" w:pos="11340"/>
              <w:tab w:val="clear" w:pos="12474"/>
            </w:tabs>
            <w:jc w:val="center"/>
            <w:rPr>
              <w:rFonts w:ascii="Bahnschrift SemiLight" w:hAnsi="Bahnschrift SemiLight" w:eastAsia="Bahnschrift SemiLight"/>
              <w:color w:val="FFFFFF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info@century21boondael.be</w:t>
          </w:r>
        </w:p>
      </w:tc>
    </w:tr>
  </w:tbl>
  <w:p>
    <w:pPr>
      <w:pStyle w:val="[Normal]"/>
      <w:widowControl w:val="on"/>
      <w:tabs>
        <w:tab w:val="left" w:pos="9637"/>
        <w:tab w:val="left" w:pos="9637"/>
        <w:tab w:val="left" w:pos="17010"/>
        <w:tab w:val="clear" w:pos="10206"/>
        <w:tab w:val="clear" w:pos="11340"/>
        <w:tab w:val="clear" w:pos="12474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widowControl w:val="on"/>
      <w:tabs>
        <w:tab w:val="left" w:pos="9637"/>
        <w:tab w:val="left" w:pos="9637"/>
        <w:tab w:val="left" w:pos="17010"/>
        <w:tab w:val="clear" w:pos="10206"/>
        <w:tab w:val="clear" w:pos="11340"/>
        <w:tab w:val="clear" w:pos="12474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clear" w:pos="10206"/>
              <w:tab w:val="clear" w:pos="11340"/>
              <w:tab w:val="clear" w:pos="12474"/>
            </w:tabs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clear" w:pos="10206"/>
              <w:tab w:val="clear" w:pos="11340"/>
              <w:tab w:val="clear" w:pos="12474"/>
            </w:tabs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widowControl w:val="on"/>
      <w:tabs>
        <w:tab w:val="left" w:pos="9637"/>
        <w:tab w:val="left" w:pos="9637"/>
        <w:tab w:val="left" w:pos="17010"/>
        <w:tab w:val="clear" w:pos="10206"/>
        <w:tab w:val="clear" w:pos="11340"/>
        <w:tab w:val="clear" w:pos="12474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widowControl w:val="on"/>
      <w:tabs>
        <w:tab w:val="left" w:pos="9637"/>
        <w:tab w:val="left" w:pos="9637"/>
        <w:tab w:val="left" w:pos="17010"/>
        <w:tab w:val="clear" w:pos="10206"/>
        <w:tab w:val="clear" w:pos="11340"/>
        <w:tab w:val="clear" w:pos="12474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Détail">
    <w:name w:val="Détail"/>
    <w:basedOn w:val="[Normal]"/>
    <w:next w:val="Détail"/>
    <w:qFormat/>
    <w:pPr>
      <w:widowControl w:val="on"/>
      <w:numPr>
        <w:ilvl w:val="0"/>
        <w:numId w:val="1"/>
      </w:numPr>
      <w:tabs>
        <w:tab w:val="left" w:pos="360"/>
        <w:tab w:val="clear" w:pos="15876"/>
      </w:tabs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  <w:tabs>
        <w:tab w:val="left" w:pos="15876"/>
        <w:tab w:val="clear" w:pos="360"/>
      </w:tabs>
    </w:pPr>
    <w:rPr>
      <w:b w:val="on"/>
    </w:rPr>
  </w:style>
  <w:style w:type="paragraph" w:styleId="Titre1">
    <w:name w:val="Titre1"/>
    <w:basedOn w:val="[Normal]"/>
    <w:next w:val="Titre1"/>
    <w:qFormat/>
    <w:pPr>
      <w:widowControl w:val="on"/>
    </w:pPr>
    <w:rPr>
      <w:b w:val="on"/>
      <w:sz w:val="28"/>
    </w:rPr>
  </w:style>
  <w:style w:type="paragraph" w:styleId="TEST">
    <w:name w:val="TEST"/>
    <w:basedOn w:val="[Normal]"/>
    <w:next w:val="TEST"/>
    <w:qFormat/>
    <w:pPr>
      <w:widowControl w:val="on"/>
    </w:pPr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27" Type="http://schemas.openxmlformats.org/officeDocument/2006/relationships/header" Target="header0001.xml"/>
	<Relationship Id="rId00028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2" Type="http://schemas.openxmlformats.org/officeDocument/2006/relationships/image" Target="media/image0018.jpg"/>
	<Relationship Id="rId00023" Type="http://schemas.openxmlformats.org/officeDocument/2006/relationships/image" Target="media/image0019.jpg"/>
	<Relationship Id="rId00024" Type="http://schemas.openxmlformats.org/officeDocument/2006/relationships/image" Target="media/image0020.jpg"/>
	<Relationship Id="rId00025" Type="http://schemas.openxmlformats.org/officeDocument/2006/relationships/image" Target="media/image0021.jpg"/>
	<Relationship Id="rId00026" Type="http://schemas.openxmlformats.org/officeDocument/2006/relationships/image" Target="media/image0022.jpg"/>
	<Relationship Id="rId00029" Type="http://schemas.openxmlformats.org/officeDocument/2006/relationships/numbering" Target="numbering.xml"/>
	<Relationship Id="rId00030" Type="http://schemas.openxmlformats.org/officeDocument/2006/relationships/fontTable" Target="fontTable.xml"/>
	<Relationship Id="rId00031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  <HyperlinkBase>C:\Users\info\CENTURY 21 Boondael\Century 21 Boondael - Documents\Activimmo\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