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E2557-074-2023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4 septembre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1047750" cy="790575"/>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047750" cy="790575"/>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Chère Madame Bianca Larock,</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appartement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Chaussée de Wavre, 58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mardi 29 août 2023.</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28</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290.000 €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u w:val="single"/>
        </w:rPr>
        <w:t xml:space="preserve">295.000 euros.</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Bianca Larock,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posOffset>9525</wp:posOffset>
            </wp:positionH>
            <wp:positionV relativeFrom="paragraph">
              <wp:posOffset>36830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