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b w:val="on"/>
          <w:color w:val="000000"/>
          <w:sz w:val="32"/>
        </w:rPr>
      </w:pPr>
    </w:p>
    <w:p>
      <w:pPr>
        <w:pStyle w:val="[Normal]"/>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"http:///bien-7461.html"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Réf 2487 B - 2CH vue sur Parc du Cinquantenaire</w:t>
      </w:r>
    </w:p>
    <w:p>
      <w:pPr>
        <w:pStyle w:val="[Normal]"/>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jc w:val="center"/>
        <w:rPr>
          <w:rFonts w:ascii="Bahnschrift SemiLight" w:hAnsi="Bahnschrift SemiLight" w:eastAsia="Bahnschrift SemiLight"/>
          <w:b w:val="on"/>
          <w:color w:val="000000"/>
          <w:sz w:val="20"/>
        </w:rPr>
      </w:pPr>
      <w:r>
        <w:drawing>
          <wp:inline distT="0" distB="0" distL="0" distR="0">
            <wp:extent cx="3810000" cy="28575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3810000" cy="2857500"/>
                    </a:xfrm>
                    <a:prstGeom prst="rect">
                      <a:avLst/>
                    </a:prstGeom>
                  </pic:spPr>
                </pic:pic>
              </a:graphicData>
            </a:graphic>
          </wp:inline>
        </w:drawing>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Etterbeek (réf 2487 B) En face du Parc du cinquantenaire - Lumineux appartement 2ch de 186m² brut plan disponible. L’appartement est composé de : un hall d'entrée avec vestiaires et débarras, un agréable séjour de 60m² avec une vue à couper le souffle sur le parc du cinquantenaire. La luminosité du séjour vous transcendera. Une cuisine équipée, office, un WC séparé, un hall de nuit donnant accès à une grande chambre avec une salle de bain privative et un WC, une deuxième grande chambre avec une salle de bain privative et un accès une terrasse. Châssis double vitrage en PVC - Chaudière centralisée au gaz avec calorimètres – Ascenseurs conforme – Electricité non conforme – Prix 800.000 € + 35.000 € emplacement de parking avec ascenseur pour les véhicules en sous-sol ultra sécurisé  - Grande cave 15.000 € - excellent Isolation acoustique et thermique - PEB : C-. Disponibilité a l’Acte Authentique. Belle opportunité à saisir. Vous désirez plus de renseignements ou souhaitez visiter ? Contactez-nous sans plus tarder au 02/660.21.21 ou 0491/19.73.57.</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w:t>
      </w: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800.000 €</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Avenue des Gaulois, 15 à 1040 Etterbeek</w:t>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2</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2</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Sud</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Equipée</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Central au gaz</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186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3 m²</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rPr>
          <w:rFonts w:ascii="Bahnschrift SemiLight" w:hAnsi="Bahnschrift SemiLight" w:eastAsia="Bahnschrift SemiLight"/>
          <w:b w:val="on"/>
          <w:color w:val="FFC000"/>
          <w:sz w:val="20"/>
        </w:rPr>
      </w:pPr>
    </w:p>
    <w:p>
      <w:pPr>
        <w:pStyle w:val="Type de détail"/>
      </w:pPr>
      <w:r>
        <w:t xml:space="preserve">3ème étage:</w:t>
      </w:r>
    </w:p>
    <w:p>
      <w:pPr>
        <w:pStyle w:val="Détail"/>
        <w:numPr>
          <w:ilvl w:val="0"/>
          <w:numId w:val="3"/>
        </w:numPr>
      </w:pPr>
      <w:r>
        <w:t xml:space="preserve">Chambre</w:t>
      </w:r>
    </w:p>
    <w:p>
      <w:pPr>
        <w:pStyle w:val="Détail"/>
        <w:numPr>
          <w:ilvl w:val="0"/>
          <w:numId w:val="3"/>
        </w:numPr>
      </w:pPr>
      <w:r>
        <w:t xml:space="preserve">Cuisine</w:t>
      </w:r>
    </w:p>
    <w:p>
      <w:pPr>
        <w:pStyle w:val="Détail"/>
        <w:numPr>
          <w:ilvl w:val="0"/>
          <w:numId w:val="3"/>
        </w:numPr>
      </w:pPr>
      <w:r>
        <w:t xml:space="preserve">Dressing</w:t>
      </w:r>
    </w:p>
    <w:p>
      <w:pPr>
        <w:pStyle w:val="Détail"/>
        <w:numPr>
          <w:ilvl w:val="0"/>
          <w:numId w:val="3"/>
        </w:numPr>
      </w:pPr>
      <w:r>
        <w:t xml:space="preserve">Hall</w:t>
      </w:r>
    </w:p>
    <w:p>
      <w:pPr>
        <w:pStyle w:val="Détail"/>
        <w:numPr>
          <w:ilvl w:val="0"/>
          <w:numId w:val="3"/>
        </w:numPr>
      </w:pPr>
      <w:r>
        <w:t xml:space="preserve">Palier</w:t>
      </w:r>
    </w:p>
    <w:p>
      <w:pPr>
        <w:pStyle w:val="Détail"/>
        <w:numPr>
          <w:ilvl w:val="0"/>
          <w:numId w:val="3"/>
        </w:numPr>
      </w:pPr>
      <w:r>
        <w:t xml:space="preserve">Salle à manger</w:t>
      </w:r>
    </w:p>
    <w:p>
      <w:pPr>
        <w:pStyle w:val="Détail"/>
        <w:numPr>
          <w:ilvl w:val="0"/>
          <w:numId w:val="3"/>
        </w:numPr>
      </w:pPr>
      <w:r>
        <w:t xml:space="preserve">Salle de bains</w:t>
      </w:r>
    </w:p>
    <w:p>
      <w:pPr>
        <w:pStyle w:val="Détail"/>
        <w:numPr>
          <w:ilvl w:val="0"/>
          <w:numId w:val="3"/>
        </w:numPr>
      </w:pPr>
      <w:r>
        <w:t xml:space="preserve">Séjour</w:t>
      </w:r>
    </w:p>
    <w:p>
      <w:pPr>
        <w:pStyle w:val="Détail"/>
        <w:numPr>
          <w:ilvl w:val="0"/>
          <w:numId w:val="3"/>
        </w:numPr>
      </w:pPr>
      <w:r>
        <w:t xml:space="preserve">Vestiaire</w:t>
      </w:r>
    </w:p>
    <w:p>
      <w:pPr>
        <w:pStyle w:val="Détail"/>
        <w:numPr>
          <w:ilvl w:val="0"/>
          <w:numId w:val="3"/>
        </w:numPr>
      </w:pPr>
      <w:r>
        <w:t xml:space="preserve">Buanderie</w:t>
      </w:r>
    </w:p>
    <w:p>
      <w:pPr>
        <w:pStyle w:val="Détail"/>
        <w:numPr>
          <w:ilvl w:val="0"/>
          <w:numId w:val="3"/>
        </w:numPr>
      </w:pPr>
      <w:r>
        <w:t xml:space="preserve">Débarras</w:t>
      </w:r>
    </w:p>
    <w:p>
      <w:pPr>
        <w:pStyle w:val="Détail"/>
        <w:numPr>
          <w:ilvl w:val="0"/>
          <w:numId w:val="3"/>
        </w:numPr>
      </w:pPr>
      <w:r>
        <w:t xml:space="preserve">WC</w:t>
      </w:r>
    </w:p>
    <w:p>
      <w:pPr>
        <w:pStyle w:val="Type de détail"/>
      </w:pPr>
      <w:r>
        <w:t xml:space="preserve">Pièces diverses:</w:t>
      </w:r>
    </w:p>
    <w:p>
      <w:pPr>
        <w:pStyle w:val="Détail"/>
        <w:numPr>
          <w:ilvl w:val="0"/>
          <w:numId w:val="3"/>
        </w:numPr>
      </w:pPr>
      <w:r>
        <w:t xml:space="preserve">Cave</w:t>
      </w:r>
    </w:p>
    <w:p>
      <w:pPr>
        <w:pStyle w:val="Détail"/>
        <w:numPr>
          <w:ilvl w:val="0"/>
          <w:numId w:val="3"/>
        </w:numPr>
      </w:pPr>
      <w:r>
        <w:t xml:space="preserve">Parking</w:t>
      </w:r>
    </w:p>
    <w:p>
      <w:pPr>
        <w:pStyle w:val="Détail"/>
        <w:numPr>
          <w:ilvl w:val="0"/>
          <w:numId w:val="3"/>
        </w:numPr>
      </w:pPr>
      <w:r>
        <w:t xml:space="preserve">Terrasse</w:t>
      </w:r>
    </w:p>
    <w:p>
      <w:pPr>
        <w:pStyle w:val="Type de détail"/>
      </w:pPr>
      <w:r>
        <w:t xml:space="preserve">Equipements de Cuisine:</w:t>
      </w:r>
    </w:p>
    <w:p>
      <w:pPr>
        <w:pStyle w:val="Détail"/>
        <w:numPr>
          <w:ilvl w:val="0"/>
          <w:numId w:val="3"/>
        </w:numPr>
      </w:pPr>
      <w:r>
        <w:t xml:space="preserve">Cuisinière au gaz</w:t>
      </w:r>
    </w:p>
    <w:p>
      <w:pPr>
        <w:pStyle w:val="Détail"/>
        <w:numPr>
          <w:ilvl w:val="0"/>
          <w:numId w:val="3"/>
        </w:numPr>
      </w:pPr>
      <w:r>
        <w:t xml:space="preserve">Four</w:t>
      </w:r>
    </w:p>
    <w:p>
      <w:pPr>
        <w:pStyle w:val="Type de détail"/>
      </w:pPr>
      <w:r>
        <w:t xml:space="preserve">Equipements de Cuisine (suite):</w:t>
      </w:r>
    </w:p>
    <w:p>
      <w:pPr>
        <w:pStyle w:val="Détail"/>
        <w:numPr>
          <w:ilvl w:val="0"/>
          <w:numId w:val="3"/>
        </w:numPr>
      </w:pPr>
      <w:r>
        <w:t xml:space="preserve">Frigo</w:t>
      </w:r>
    </w:p>
    <w:p>
      <w:pPr>
        <w:pStyle w:val="Détail"/>
        <w:numPr>
          <w:ilvl w:val="0"/>
          <w:numId w:val="3"/>
        </w:numPr>
      </w:pPr>
      <w:r>
        <w:t xml:space="preserve">Hotte aspirante</w:t>
      </w:r>
    </w:p>
    <w:p>
      <w:pPr>
        <w:pStyle w:val="Détail"/>
        <w:numPr>
          <w:ilvl w:val="0"/>
          <w:numId w:val="3"/>
        </w:numPr>
      </w:pPr>
      <w:r>
        <w:t xml:space="preserve">Lave linge</w:t>
      </w:r>
    </w:p>
    <w:p>
      <w:pPr>
        <w:pStyle w:val="Détail"/>
        <w:numPr>
          <w:ilvl w:val="0"/>
          <w:numId w:val="3"/>
        </w:numPr>
      </w:pPr>
      <w:r>
        <w:t xml:space="preserve">Lave vaisselle</w:t>
      </w:r>
    </w:p>
    <w:p>
      <w:pPr>
        <w:pStyle w:val="Détail"/>
        <w:numPr>
          <w:ilvl w:val="0"/>
          <w:numId w:val="3"/>
        </w:numPr>
      </w:pPr>
      <w:r>
        <w:t xml:space="preserve">Meubles de cuisine</w:t>
      </w:r>
    </w:p>
    <w:p>
      <w:pPr>
        <w:pStyle w:val="Détail"/>
        <w:numPr>
          <w:ilvl w:val="0"/>
          <w:numId w:val="3"/>
        </w:numPr>
      </w:pPr>
      <w:r>
        <w:t xml:space="preserve">Double évier</w:t>
      </w:r>
    </w:p>
    <w:p>
      <w:pPr>
        <w:pStyle w:val="Type de détail"/>
      </w:pPr>
      <w:r>
        <w:t xml:space="preserve">Equipements Electrique:</w:t>
      </w:r>
    </w:p>
    <w:p>
      <w:pPr>
        <w:pStyle w:val="Détail"/>
        <w:numPr>
          <w:ilvl w:val="0"/>
          <w:numId w:val="3"/>
        </w:numPr>
      </w:pPr>
      <w:r>
        <w:t xml:space="preserve">Thermostat</w:t>
      </w:r>
    </w:p>
    <w:p>
      <w:pPr>
        <w:pStyle w:val="Détail"/>
        <w:numPr>
          <w:ilvl w:val="0"/>
          <w:numId w:val="3"/>
        </w:numPr>
      </w:pPr>
      <w:r>
        <w:t xml:space="preserve">Videophone</w:t>
      </w:r>
    </w:p>
    <w:p>
      <w:pPr>
        <w:pStyle w:val="Type de détail"/>
      </w:pPr>
      <w:r>
        <w:t xml:space="preserve">Equipements divers:</w:t>
      </w:r>
    </w:p>
    <w:p>
      <w:pPr>
        <w:pStyle w:val="Détail"/>
        <w:numPr>
          <w:ilvl w:val="0"/>
          <w:numId w:val="3"/>
        </w:numPr>
      </w:pPr>
      <w:r>
        <w:t xml:space="preserve">Ascenseur</w:t>
      </w:r>
    </w:p>
    <w:p>
      <w:pPr>
        <w:pStyle w:val="Détail"/>
        <w:numPr>
          <w:ilvl w:val="0"/>
          <w:numId w:val="3"/>
        </w:numPr>
      </w:pPr>
      <w:r>
        <w:t xml:space="preserve">Porte blindée</w:t>
      </w:r>
    </w:p>
    <w:p>
      <w:pPr>
        <w:pStyle w:val="Type de détail"/>
      </w:pPr>
      <w:r>
        <w:t xml:space="preserve">Certifications:</w:t>
      </w:r>
    </w:p>
    <w:p>
      <w:pPr>
        <w:pStyle w:val="Détail"/>
        <w:numPr>
          <w:ilvl w:val="0"/>
          <w:numId w:val="3"/>
        </w:numPr>
      </w:pPr>
      <w:r>
        <w:t xml:space="preserve">Emissions CO2 28,00 Kg Co2m²an</w:t>
      </w:r>
    </w:p>
    <w:p>
      <w:pPr>
        <w:pStyle w:val="Détail"/>
        <w:numPr>
          <w:ilvl w:val="0"/>
          <w:numId w:val="3"/>
        </w:numPr>
      </w:pPr>
      <w:r>
        <w:t xml:space="preserve">Numéro de certificat PEB 20230525-0000645368-01-6</w:t>
      </w:r>
    </w:p>
    <w:p>
      <w:pPr>
        <w:pStyle w:val="Type de détail"/>
      </w:pPr>
      <w:r>
        <w:t xml:space="preserve">Toiture:</w:t>
      </w:r>
    </w:p>
    <w:p>
      <w:pPr>
        <w:pStyle w:val="Détail"/>
        <w:numPr>
          <w:ilvl w:val="0"/>
          <w:numId w:val="3"/>
        </w:numPr>
      </w:pPr>
      <w:r>
        <w:t xml:space="preserve">PVC</w:t>
      </w:r>
    </w:p>
    <w:p>
      <w:pPr>
        <w:pStyle w:val="Type de détail"/>
      </w:pPr>
      <w:r>
        <w:t xml:space="preserve">Sol:</w:t>
      </w:r>
    </w:p>
    <w:p>
      <w:pPr>
        <w:pStyle w:val="Détail"/>
        <w:numPr>
          <w:ilvl w:val="0"/>
          <w:numId w:val="3"/>
        </w:numPr>
      </w:pPr>
      <w:r>
        <w:t xml:space="preserve">Moquette</w:t>
      </w:r>
    </w:p>
    <w:p>
      <w:pPr>
        <w:pStyle w:val="Type de détail"/>
      </w:pPr>
      <w:r>
        <w:t xml:space="preserve">Vue:</w:t>
      </w:r>
    </w:p>
    <w:p>
      <w:pPr>
        <w:pStyle w:val="Détail"/>
        <w:numPr>
          <w:ilvl w:val="0"/>
          <w:numId w:val="3"/>
        </w:numPr>
      </w:pPr>
      <w:r>
        <w:t xml:space="preserve">Vue sur parc</w:t>
      </w:r>
    </w:p>
    <w:p>
      <w:pPr>
        <w:pStyle w:val="[Normal]"/>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u w:val="single"/>
        </w:rPr>
      </w:pPr>
    </w:p>
    <w:p>
      <w:pPr>
        <w:pStyle w:val="[Normal]"/>
        <w:rPr>
          <w:rFonts w:ascii="Bahnschrift SemiLight" w:hAnsi="Bahnschrift SemiLight" w:eastAsia="Bahnschrift SemiLight"/>
          <w:b w:val="on"/>
          <w:color w:val="9B895F"/>
        </w:rPr>
      </w:pPr>
      <w:r>
        <w:drawing>
          <wp:inline distT="0" distB="0" distL="0" distR="0">
            <wp:extent cx="2286000" cy="17145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color w:val="9B895F"/>
        </w:rPr>
      </w:pPr>
    </w:p>
    <w:p>
      <w:pPr>
        <w:pStyle w:val="[Normal]"/>
        <w:rPr>
          <w:rFonts w:ascii="Bahnschrift SemiLight" w:hAnsi="Bahnschrift SemiLight" w:eastAsia="Bahnschrift SemiLight"/>
          <w:color w:val="9B895F"/>
        </w:rPr>
      </w:pPr>
      <w:r>
        <w:drawing>
          <wp:inline distT="0" distB="0" distL="0" distR="0">
            <wp:extent cx="2286000" cy="17145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color w:val="9B895F"/>
        </w:rPr>
        <w:t xml:space="preserve">                                                   </w:t>
      </w:r>
      <w:r>
        <w:drawing>
          <wp:inline distT="0" distB="0" distL="0" distR="0">
            <wp:extent cx="1714500" cy="22860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1714500" cy="2286000"/>
                    </a:xfrm>
                    <a:prstGeom prst="rect">
                      <a:avLst/>
                    </a:prstGeom>
                  </pic:spPr>
                </pic:pic>
              </a:graphicData>
            </a:graphic>
          </wp:inline>
        </w:drawing>
      </w:r>
    </w:p>
    <w:p>
      <w:pPr>
        <w:pStyle w:val="[Normal]"/>
        <w:rPr>
          <w:rFonts w:ascii="Bahnschrift SemiLight" w:hAnsi="Bahnschrift SemiLight" w:eastAsia="Bahnschrift SemiLight"/>
          <w:color w:val="9B895F"/>
        </w:rPr>
      </w:pPr>
    </w:p>
    <w:p>
      <w:pPr>
        <w:pStyle w:val="[Normal]"/>
        <w:rPr>
          <w:rFonts w:ascii="Bahnschrift SemiLight" w:hAnsi="Bahnschrift SemiLight" w:eastAsia="Bahnschrift SemiLight"/>
          <w:color w:val="9B895F"/>
        </w:rPr>
      </w:pPr>
      <w:r>
        <w:drawing>
          <wp:inline distT="0" distB="0" distL="0" distR="0">
            <wp:extent cx="1714500" cy="22860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color w:val="9B895F"/>
        </w:rPr>
        <w:t xml:space="preserve">                                                   </w:t>
      </w:r>
      <w:r>
        <w:drawing>
          <wp:inline distT="0" distB="0" distL="0" distR="0">
            <wp:extent cx="2286000" cy="17145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color w:val="9B895F"/>
        </w:rPr>
      </w:pPr>
    </w:p>
    <w:p>
      <w:pPr>
        <w:pStyle w:val="[Normal]"/>
        <w:rPr>
          <w:rFonts w:ascii="Bahnschrift SemiLight" w:hAnsi="Bahnschrift SemiLight" w:eastAsia="Bahnschrift SemiLight"/>
          <w:color w:val="9B895F"/>
        </w:rPr>
      </w:pPr>
      <w:r>
        <w:drawing>
          <wp:inline distT="0" distB="0" distL="0" distR="0">
            <wp:extent cx="2286000" cy="17145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color w:val="9B895F"/>
        </w:rPr>
        <w:t xml:space="preserve">                                     </w:t>
      </w:r>
      <w:r>
        <w:drawing>
          <wp:inline distT="0" distB="0" distL="0" distR="0">
            <wp:extent cx="2286000" cy="17145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color w:val="9B895F"/>
        </w:rPr>
      </w:pPr>
    </w:p>
    <w:p>
      <w:pPr>
        <w:pStyle w:val="[Normal]"/>
        <w:rPr>
          <w:rFonts w:ascii="Bahnschrift SemiLight" w:hAnsi="Bahnschrift SemiLight" w:eastAsia="Bahnschrift SemiLight"/>
          <w:color w:val="9B895F"/>
        </w:rPr>
      </w:pPr>
      <w:r>
        <w:drawing>
          <wp:inline distT="0" distB="0" distL="0" distR="0">
            <wp:extent cx="2286000" cy="17145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color w:val="9B895F"/>
        </w:rPr>
        <w:t xml:space="preserve">                                     </w:t>
      </w:r>
      <w:r>
        <w:drawing>
          <wp:inline distT="0" distB="0" distL="0" distR="0">
            <wp:extent cx="2286000" cy="17145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color w:val="9B895F"/>
        </w:rPr>
      </w:pPr>
    </w:p>
    <w:p>
      <w:pPr>
        <w:pStyle w:val="[Normal]"/>
        <w:rPr>
          <w:rFonts w:ascii="Bahnschrift SemiLight" w:hAnsi="Bahnschrift SemiLight" w:eastAsia="Bahnschrift SemiLight"/>
          <w:color w:val="9B895F"/>
        </w:rPr>
      </w:pPr>
      <w:r>
        <w:drawing>
          <wp:inline distT="0" distB="0" distL="0" distR="0">
            <wp:extent cx="2286000" cy="17145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color w:val="9B895F"/>
        </w:rPr>
        <w:t xml:space="preserve">                                                   </w:t>
      </w:r>
      <w:r>
        <w:drawing>
          <wp:inline distT="0" distB="0" distL="0" distR="0">
            <wp:extent cx="1714500" cy="22860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1714500" cy="2286000"/>
                    </a:xfrm>
                    <a:prstGeom prst="rect">
                      <a:avLst/>
                    </a:prstGeom>
                  </pic:spPr>
                </pic:pic>
              </a:graphicData>
            </a:graphic>
          </wp:inline>
        </w:drawing>
      </w:r>
    </w:p>
    <w:p>
      <w:pPr>
        <w:pStyle w:val="[Normal]"/>
        <w:rPr>
          <w:rFonts w:ascii="Bahnschrift SemiLight" w:hAnsi="Bahnschrift SemiLight" w:eastAsia="Bahnschrift SemiLight"/>
          <w:color w:val="9B895F"/>
        </w:rPr>
      </w:pPr>
    </w:p>
    <w:p>
      <w:pPr>
        <w:pStyle w:val="[Normal]"/>
        <w:rPr>
          <w:rFonts w:ascii="Bahnschrift SemiLight" w:hAnsi="Bahnschrift SemiLight" w:eastAsia="Bahnschrift SemiLight"/>
          <w:color w:val="9B895F"/>
        </w:rPr>
      </w:pPr>
      <w:r>
        <w:drawing>
          <wp:inline distT="0" distB="0" distL="0" distR="0">
            <wp:extent cx="1714500" cy="22860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color w:val="9B895F"/>
        </w:rPr>
        <w:t xml:space="preserve">                                                   </w:t>
      </w:r>
      <w:r>
        <w:drawing>
          <wp:inline distT="0" distB="0" distL="0" distR="0">
            <wp:extent cx="2286000" cy="171450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color w:val="9B895F"/>
        </w:rPr>
      </w:pPr>
    </w:p>
    <w:p>
      <w:pPr>
        <w:pStyle w:val="[Normal]"/>
        <w:rPr>
          <w:rFonts w:ascii="Bahnschrift SemiLight" w:hAnsi="Bahnschrift SemiLight" w:eastAsia="Bahnschrift SemiLight"/>
          <w:color w:val="9B895F"/>
        </w:rPr>
      </w:pPr>
      <w:r>
        <w:drawing>
          <wp:inline distT="0" distB="0" distL="0" distR="0">
            <wp:extent cx="2286000" cy="1714500"/>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color w:val="9B895F"/>
        </w:rPr>
        <w:t xml:space="preserve">                                     </w:t>
      </w:r>
      <w:r>
        <w:drawing>
          <wp:inline distT="0" distB="0" distL="0" distR="0">
            <wp:extent cx="2286000" cy="1714500"/>
            <wp:docPr id="18" name="_tx_id_18_"/>
            <a:graphic xmlns:a="http://schemas.openxmlformats.org/drawingml/2006/main">
              <a:graphicData uri="http://schemas.openxmlformats.org/drawingml/2006/picture">
                <pic:pic xmlns:pic="http://schemas.openxmlformats.org/drawingml/2006/picture">
                  <pic:nvPicPr>
                    <pic:cNvPr id="0" name="Image 18"/>
                    <pic:cNvPicPr/>
                  </pic:nvPicPr>
                  <pic:blipFill>
                    <a:blip r:embed="rId00022"/>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color w:val="9B895F"/>
        </w:rPr>
      </w:pPr>
    </w:p>
    <w:p>
      <w:pPr>
        <w:pStyle w:val="[Normal]"/>
        <w:rPr>
          <w:rFonts w:ascii="Bahnschrift SemiLight" w:hAnsi="Bahnschrift SemiLight" w:eastAsia="Bahnschrift SemiLight"/>
          <w:color w:val="9B895F"/>
        </w:rPr>
      </w:pPr>
      <w:r>
        <w:drawing>
          <wp:inline distT="0" distB="0" distL="0" distR="0">
            <wp:extent cx="1714500" cy="2286000"/>
            <wp:docPr id="19" name="_tx_id_19_"/>
            <a:graphic xmlns:a="http://schemas.openxmlformats.org/drawingml/2006/main">
              <a:graphicData uri="http://schemas.openxmlformats.org/drawingml/2006/picture">
                <pic:pic xmlns:pic="http://schemas.openxmlformats.org/drawingml/2006/picture">
                  <pic:nvPicPr>
                    <pic:cNvPr id="0" name="Image 19"/>
                    <pic:cNvPicPr/>
                  </pic:nvPicPr>
                  <pic:blipFill>
                    <a:blip r:embed="rId00023"/>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color w:val="9B895F"/>
        </w:rPr>
        <w:t xml:space="preserve">                                                   </w:t>
      </w:r>
      <w:r>
        <w:drawing>
          <wp:inline distT="0" distB="0" distL="0" distR="0">
            <wp:extent cx="2286000" cy="1714500"/>
            <wp:docPr id="20" name="_tx_id_20_"/>
            <a:graphic xmlns:a="http://schemas.openxmlformats.org/drawingml/2006/main">
              <a:graphicData uri="http://schemas.openxmlformats.org/drawingml/2006/picture">
                <pic:pic xmlns:pic="http://schemas.openxmlformats.org/drawingml/2006/picture">
                  <pic:nvPicPr>
                    <pic:cNvPr id="0" name="Image 20"/>
                    <pic:cNvPicPr/>
                  </pic:nvPicPr>
                  <pic:blipFill>
                    <a:blip r:embed="rId00024"/>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color w:val="9B895F"/>
        </w:rPr>
      </w:pPr>
    </w:p>
    <w:p>
      <w:pPr>
        <w:pStyle w:val="[Normal]"/>
        <w:rPr>
          <w:rFonts w:ascii="Bahnschrift SemiLight" w:hAnsi="Bahnschrift SemiLight" w:eastAsia="Bahnschrift SemiLight"/>
          <w:color w:val="9B895F"/>
        </w:rPr>
      </w:pPr>
      <w:r>
        <w:drawing>
          <wp:inline distT="0" distB="0" distL="0" distR="0">
            <wp:extent cx="2286000" cy="1714500"/>
            <wp:docPr id="21" name="_tx_id_21_"/>
            <a:graphic xmlns:a="http://schemas.openxmlformats.org/drawingml/2006/main">
              <a:graphicData uri="http://schemas.openxmlformats.org/drawingml/2006/picture">
                <pic:pic xmlns:pic="http://schemas.openxmlformats.org/drawingml/2006/picture">
                  <pic:nvPicPr>
                    <pic:cNvPr id="0" name="Image 21"/>
                    <pic:cNvPicPr/>
                  </pic:nvPicPr>
                  <pic:blipFill>
                    <a:blip r:embed="rId00025"/>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color w:val="9B895F"/>
        </w:rPr>
        <w:t xml:space="preserve">                                     </w:t>
      </w:r>
      <w:r>
        <w:drawing>
          <wp:inline distT="0" distB="0" distL="0" distR="0">
            <wp:extent cx="2286000" cy="1714500"/>
            <wp:docPr id="22" name="_tx_id_22_"/>
            <a:graphic xmlns:a="http://schemas.openxmlformats.org/drawingml/2006/main">
              <a:graphicData uri="http://schemas.openxmlformats.org/drawingml/2006/picture">
                <pic:pic xmlns:pic="http://schemas.openxmlformats.org/drawingml/2006/picture">
                  <pic:nvPicPr>
                    <pic:cNvPr id="0" name="Image 22"/>
                    <pic:cNvPicPr/>
                  </pic:nvPicPr>
                  <pic:blipFill>
                    <a:blip r:embed="rId00026"/>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color w:val="9B895F"/>
        </w:rPr>
      </w:pPr>
    </w:p>
    <w:p>
      <w:pPr>
        <w:pStyle w:val="[Normal]"/>
        <w:rPr>
          <w:rFonts w:ascii="Bahnschrift SemiLight" w:hAnsi="Bahnschrift SemiLight" w:eastAsia="Bahnschrift SemiLight"/>
          <w:color w:val="9B895F"/>
        </w:rPr>
      </w:pPr>
      <w:r>
        <w:drawing>
          <wp:inline distT="0" distB="0" distL="0" distR="0">
            <wp:extent cx="2286000" cy="1714500"/>
            <wp:docPr id="23" name="_tx_id_23_"/>
            <a:graphic xmlns:a="http://schemas.openxmlformats.org/drawingml/2006/main">
              <a:graphicData uri="http://schemas.openxmlformats.org/drawingml/2006/picture">
                <pic:pic xmlns:pic="http://schemas.openxmlformats.org/drawingml/2006/picture">
                  <pic:nvPicPr>
                    <pic:cNvPr id="0" name="Image 23"/>
                    <pic:cNvPicPr/>
                  </pic:nvPicPr>
                  <pic:blipFill>
                    <a:blip r:embed="rId0002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color w:val="9B895F"/>
        </w:rPr>
        <w:t xml:space="preserve">                                     </w:t>
      </w:r>
      <w:r>
        <w:drawing>
          <wp:inline distT="0" distB="0" distL="0" distR="0">
            <wp:extent cx="2286000" cy="1714500"/>
            <wp:docPr id="24" name="_tx_id_24_"/>
            <a:graphic xmlns:a="http://schemas.openxmlformats.org/drawingml/2006/main">
              <a:graphicData uri="http://schemas.openxmlformats.org/drawingml/2006/picture">
                <pic:pic xmlns:pic="http://schemas.openxmlformats.org/drawingml/2006/picture">
                  <pic:nvPicPr>
                    <pic:cNvPr id="0" name="Image 24"/>
                    <pic:cNvPicPr/>
                  </pic:nvPicPr>
                  <pic:blipFill>
                    <a:blip r:embed="rId00028"/>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color w:val="9B895F"/>
        </w:rPr>
      </w:pPr>
    </w:p>
    <w:p>
      <w:pPr>
        <w:pStyle w:val="[Normal]"/>
        <w:rPr>
          <w:rFonts w:ascii="Bahnschrift SemiLight" w:hAnsi="Bahnschrift SemiLight" w:eastAsia="Bahnschrift SemiLight"/>
          <w:color w:val="9B895F"/>
        </w:rPr>
      </w:pPr>
      <w:r>
        <w:drawing>
          <wp:inline distT="0" distB="0" distL="0" distR="0">
            <wp:extent cx="2286000" cy="1714500"/>
            <wp:docPr id="25" name="_tx_id_25_"/>
            <a:graphic xmlns:a="http://schemas.openxmlformats.org/drawingml/2006/main">
              <a:graphicData uri="http://schemas.openxmlformats.org/drawingml/2006/picture">
                <pic:pic xmlns:pic="http://schemas.openxmlformats.org/drawingml/2006/picture">
                  <pic:nvPicPr>
                    <pic:cNvPr id="0" name="Image 25"/>
                    <pic:cNvPicPr/>
                  </pic:nvPicPr>
                  <pic:blipFill>
                    <a:blip r:embed="rId00029"/>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color w:val="9B895F"/>
        </w:rPr>
        <w:t xml:space="preserve">                                     </w:t>
      </w:r>
      <w:r>
        <w:drawing>
          <wp:inline distT="0" distB="0" distL="0" distR="0">
            <wp:extent cx="2286000" cy="1714500"/>
            <wp:docPr id="26" name="_tx_id_26_"/>
            <a:graphic xmlns:a="http://schemas.openxmlformats.org/drawingml/2006/main">
              <a:graphicData uri="http://schemas.openxmlformats.org/drawingml/2006/picture">
                <pic:pic xmlns:pic="http://schemas.openxmlformats.org/drawingml/2006/picture">
                  <pic:nvPicPr>
                    <pic:cNvPr id="0" name="Image 26"/>
                    <pic:cNvPicPr/>
                  </pic:nvPicPr>
                  <pic:blipFill>
                    <a:blip r:embed="rId00030"/>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color w:val="9B895F"/>
        </w:rPr>
      </w:pPr>
    </w:p>
    <w:p>
      <w:pPr>
        <w:pStyle w:val="[Normal]"/>
        <w:rPr>
          <w:rFonts w:ascii="Bahnschrift SemiLight" w:hAnsi="Bahnschrift SemiLight" w:eastAsia="Bahnschrift SemiLight"/>
          <w:color w:val="9B895F"/>
        </w:rPr>
      </w:pPr>
      <w:r>
        <w:drawing>
          <wp:inline distT="0" distB="0" distL="0" distR="0">
            <wp:extent cx="1714500" cy="2286000"/>
            <wp:docPr id="27" name="_tx_id_27_"/>
            <a:graphic xmlns:a="http://schemas.openxmlformats.org/drawingml/2006/main">
              <a:graphicData uri="http://schemas.openxmlformats.org/drawingml/2006/picture">
                <pic:pic xmlns:pic="http://schemas.openxmlformats.org/drawingml/2006/picture">
                  <pic:nvPicPr>
                    <pic:cNvPr id="0" name="Image 27"/>
                    <pic:cNvPicPr/>
                  </pic:nvPicPr>
                  <pic:blipFill>
                    <a:blip r:embed="rId00031"/>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color w:val="9B895F"/>
        </w:rPr>
        <w:t xml:space="preserve">                                 </w:t>
      </w:r>
    </w:p>
    <w:sectPr>
      <w:headerReference w:type="default" r:id="rId00032"/>
      <w:footerReference w:type="default" r:id="rId00033"/>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jc w:val="center"/>
            <w:rPr>
              <w:rFonts w:ascii="Bahnschrift SemiLight" w:hAnsi="Bahnschrift SemiLight" w:eastAsia="Bahnschrift SemiLight"/>
              <w:sz w:val="20"/>
              <w:shd w:val="clear" w:fill="000000"/>
            </w:rPr>
          </w:pPr>
          <w:r>
            <w:rPr>
              <w:rFonts w:ascii="Bahnschrift SemiLight" w:hAnsi="Bahnschrift SemiLight" w:eastAsia="Bahnschrift SemiLight"/>
              <w:sz w:val="20"/>
            </w:rPr>
            <w:t xml:space="preserve">Email : </w:t>
          </w:r>
          <w:r>
            <w:rPr>
              <w:rFonts w:ascii="Bahnschrift SemiLight" w:hAnsi="Bahnschrift SemiLight" w:eastAsia="Bahnschrift SemiLight"/>
              <w:sz w:val="20"/>
            </w:rPr>
            <w:t xml:space="preserve">info@century21boondael.be</w:t>
          </w:r>
        </w:p>
      </w:tc>
    </w:tr>
  </w:tbl>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jc w:val="right"/>
            <w:rPr>
              <w:rFonts w:ascii="Trebuchet MS" w:hAnsi="Trebuchet MS" w:eastAsia="Trebuchet MS"/>
              <w:sz w:val="20"/>
            </w:rPr>
          </w:pPr>
          <w:r>
            <w:rPr>
              <w:rFonts w:ascii="Trebuchet MS" w:hAnsi="Trebuchet MS" w:eastAsia="Trebuchet MS"/>
              <w:sz w:val="20"/>
            </w:rPr>
            <w:t xml:space="preserve">  </w:t>
          </w:r>
        </w:p>
      </w:tc>
    </w:tr>
  </w:tbl>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1">
    <w:name w:val="Titre1"/>
    <w:basedOn w:val="[Normal]"/>
    <w:next w:val="Titre1"/>
    <w:qFormat/>
    <w:pPr/>
    <w:rPr>
      <w:b w:val="on"/>
      <w:sz w:val="28"/>
    </w:rPr>
  </w:style>
  <w:style w:type="paragraph" w:styleId="Détail">
    <w:name w:val="Détail"/>
    <w:basedOn w:val="[Normal]"/>
    <w:next w:val="Détail"/>
    <w:qFormat/>
    <w:pPr>
      <w:numPr>
        <w:ilvl w:val="0"/>
        <w:numId w:val="1"/>
      </w:numPr>
      <w:ind w:left="360" w:hanging="360"/>
    </w:pPr>
    <w:rPr>
      <w:sz w:val="20"/>
    </w:rPr>
  </w:style>
  <w:style w:type="paragraph" w:styleId="Type de détail">
    <w:name w:val="Type de détail"/>
    <w:basedOn w:val="Détail"/>
    <w:next w:val="Type de détail"/>
    <w:qFormat/>
    <w:pPr>
      <w:numPr>
        <w:ilvl w:val="0"/>
        <w:numId w:val="0"/>
      </w:numPr>
    </w:pPr>
    <w:rPr>
      <w:b w:val="on"/>
    </w:rPr>
  </w:style>
  <w:style w:type="paragraph" w:styleId="TEST">
    <w:name w:val="TEST"/>
    <w:basedOn w:val="[Normal]"/>
    <w:next w:val="TEST"/>
    <w:qFormat/>
    <w:pPr/>
    <w:rPr>
      <w:sz w:val="16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32" Type="http://schemas.openxmlformats.org/officeDocument/2006/relationships/header" Target="header0001.xml"/>
	<Relationship Id="rId00033"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1" Type="http://schemas.openxmlformats.org/officeDocument/2006/relationships/image" Target="media/image0017.jpg"/>
	<Relationship Id="rId00022" Type="http://schemas.openxmlformats.org/officeDocument/2006/relationships/image" Target="media/image0018.jpg"/>
	<Relationship Id="rId00023" Type="http://schemas.openxmlformats.org/officeDocument/2006/relationships/image" Target="media/image0019.jpg"/>
	<Relationship Id="rId00024" Type="http://schemas.openxmlformats.org/officeDocument/2006/relationships/image" Target="media/image0020.jpg"/>
	<Relationship Id="rId00025" Type="http://schemas.openxmlformats.org/officeDocument/2006/relationships/image" Target="media/image0021.jpg"/>
	<Relationship Id="rId00026" Type="http://schemas.openxmlformats.org/officeDocument/2006/relationships/image" Target="media/image0022.jpg"/>
	<Relationship Id="rId00027" Type="http://schemas.openxmlformats.org/officeDocument/2006/relationships/image" Target="media/image0023.jpg"/>
	<Relationship Id="rId00028" Type="http://schemas.openxmlformats.org/officeDocument/2006/relationships/image" Target="media/image0024.jpg"/>
	<Relationship Id="rId00029" Type="http://schemas.openxmlformats.org/officeDocument/2006/relationships/image" Target="media/image0025.jpg"/>
	<Relationship Id="rId00030" Type="http://schemas.openxmlformats.org/officeDocument/2006/relationships/image" Target="media/image0026.jpg"/>
	<Relationship Id="rId00031" Type="http://schemas.openxmlformats.org/officeDocument/2006/relationships/image" Target="media/image0027.jpg"/>
	<Relationship Id="rId00034" Type="http://schemas.openxmlformats.org/officeDocument/2006/relationships/numbering" Target="numbering.xml"/>
	<Relationship Id="rId00035" Type="http://schemas.openxmlformats.org/officeDocument/2006/relationships/fontTable" Target="fontTable.xml"/>
	<Relationship Id="rId00036"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