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rPr>
          <w:rFonts w:ascii="Trebuchet MS" w:hAnsi="Trebuchet MS" w:eastAsia="Trebuchet MS"/>
          <w:sz w:val="4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APPARTEMENT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38"/>
              </w:rPr>
              <w:t xml:space="preserve">Ixelles (réf 2464 B) : Très agréable studio en bon état général sis au rez-de-chaussée à proximité du bois de la Cambre et du square du Solbosch comprenant un hall d'entrée - une salle de douche avec évier et toilette, une kitchenette - un pièce à vivre - une grande cave. Actuellement loué ! PEB = D-. Infos &amp; Visites Century 21 Boondael 02/660.21.21 OU ww.century21boondael.be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VENDRE</w:t>
            </w:r>
          </w:p>
        </w:tc>
      </w:tr>
    </w:tbl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Times New Roman" w:hAnsi="Times New Roman" w:eastAsia="Times New Roman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