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"bien-5901.html"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 MEUBLE avec 1 place de PARKING!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405630" cy="331851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Koksijde (réf 2553 B): Très sympathique appartement de 2 chambres entièrement rénové sis au dernier étage d'un petit immeuble de 3 étages. Plein SUD et à 5 min à pied de la plage!!! Commerces &amp; transports en commun tout proche... Venez passer d'agréables moments à la côte Belge! Appartement composé d'un salon en parquet avec accès terrasse de 3 m², cuisine équipée, chaudière individuelle au gaz à condensation récente, salle de bain avec wc, baignoire et pommeau de douche. Loué pour un an de 565€ + CHARGES de 35eur/mois pour l'électricité des communs, entretien commun, syndic) - (eau, gaz et électricité de l'appart = INDIVIDUELLES au nom du locataire) - Infos &amp; Visites CENTURY 21 Boondael 02/660.21.21 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175.000 € + 35 €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Bovalstraat, 14 à 8670 Koksijde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80335" cy="179006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74620" cy="165989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68783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90065" cy="1760855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656715" cy="2676525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201358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