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  <w:u w:val="single"/>
        </w:rPr>
      </w:pP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fldChar w:fldCharType="begin"/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instrText xml:space="preserve"> HYPERLINK "http://www.century21.be/bien-4751.html" </w:instrText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fldChar w:fldCharType="separate"/>
      </w:r>
      <w:r>
        <w:rPr>
          <w:rFonts w:ascii="Century Gothic" w:hAnsi="Century Gothic" w:eastAsia="Century Gothic"/>
          <w:b w:val="on"/>
          <w:color w:val="000000"/>
          <w:sz w:val="32"/>
          <w:u w:val="single"/>
        </w:rPr>
        <w:t xml:space="preserve">Maison de 4 chambres, idéal pour collocation </w:t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  <w:r>
        <w:drawing>
          <wp:inline distT="0" distB="0" distL="0" distR="0">
            <wp:extent cx="2876550" cy="352234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Ixelles (réf 2460 B) : IDEAL COLOCATION D'ETUDIANT(E)S ou DE JEUNES TRAVAILLEURS - Maison 2 façades comprenant un hall d'entrée, 4 chambres spacieuses, une salle de bain, water-closet, cuisine semi-équipée, salle à manger, coin salon. Grande cour en façade arrière de 40 m² menant vers un petit atelier utilisable en espace de stockage. Idéal pour la collocation étudiant. A proximité de la place Flagey et du Boulevard Général Jacques avec ses facilités de transports en commun. 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8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Infos &amp; Visites Century 21 Boondael 02/660.21.21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OU www.century21boondael.be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0000"/>
          <w:u w:val="single"/>
        </w:rPr>
        <w:t xml:space="preserve">Loyer : 1.600 € + charges (eau - gaz - électricité - internet)</w:t>
      </w: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000000"/>
          <w:u w:val="single"/>
        </w:rPr>
        <w:t xml:space="preserve">Chaussée de Boondael, 143 à 1050 Ixelles</w:t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Informations générales :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Nombre de chambre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Type de chauffage : Mazout</w:t>
      </w: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Surfaces :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Surface habitable : 145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0"/>
        </w:rPr>
        <w:t xml:space="preserve">Surface terrasse : 40 m²</w:t>
      </w:r>
    </w:p>
    <w:p>
      <w:pPr>
        <w:pStyle w:val="[Normal]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b w:val="on"/>
          <w:color w:val="FFC000"/>
          <w:sz w:val="2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Détails : </w:t>
      </w:r>
    </w:p>
    <w:p>
      <w:pPr>
        <w:pStyle w:val="[Normal]"/>
        <w:rPr>
          <w:rFonts w:ascii="Century Gothic" w:hAnsi="Century Gothic" w:eastAsia="Century Gothic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2 Chambres Ch 1 en façade avant : (3,26 X 2,71) + (5,13 X 3,88) = 28,75 m² (double vitrage en bois type meranti)  Ch 2 en façade arrière : 3,13 X 6,20 = 19,44 m²</w:t>
      </w:r>
    </w:p>
    <w:p>
      <w:pPr>
        <w:pStyle w:val="Détail"/>
        <w:numPr>
          <w:ilvl w:val="0"/>
          <w:numId w:val="3"/>
        </w:numPr>
      </w:pPr>
      <w:r>
        <w:t xml:space="preserve">Kot Buanderie avec WC séparé : 1,73 X 4,49 = 7,77 m²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Cuisine 3,09 X 3,95 = 12,22 m² (plancher au sol) Equipements cuisine : cuisinière avec taque vitrocéramique, hotte, four, évier</w:t>
      </w:r>
    </w:p>
    <w:p>
      <w:pPr>
        <w:pStyle w:val="Détail"/>
        <w:numPr>
          <w:ilvl w:val="0"/>
          <w:numId w:val="3"/>
        </w:numPr>
      </w:pPr>
      <w:r>
        <w:t xml:space="preserve">Salle à manger 3,29 X 4,53 = 14,95 m² (plancher au sol)</w:t>
      </w:r>
    </w:p>
    <w:p>
      <w:pPr>
        <w:pStyle w:val="Détail"/>
        <w:numPr>
          <w:ilvl w:val="0"/>
          <w:numId w:val="3"/>
        </w:numPr>
      </w:pPr>
      <w:r>
        <w:t xml:space="preserve">Salon 4,54 X 5,22 = 23,73 m² (plancher au sol)</w:t>
      </w: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2 Chambres Ch 3 en façade arrière : 3,21 X 4,54 = 14,63 m² Ch 4 en façade avant : 5,00 X 3,42 = 17,17 m² + 3,04 m² (renfoncement)</w:t>
      </w:r>
    </w:p>
    <w:p>
      <w:pPr>
        <w:pStyle w:val="Type de détail"/>
      </w:pPr>
      <w:r>
        <w:t xml:space="preserve">Entresol:</w:t>
      </w:r>
    </w:p>
    <w:p>
      <w:pPr>
        <w:pStyle w:val="Détail"/>
        <w:numPr>
          <w:ilvl w:val="0"/>
          <w:numId w:val="3"/>
        </w:numPr>
      </w:pPr>
      <w:r>
        <w:t xml:space="preserve">Salle de bains Entre le RDC et le 1er étage : 1,71 X 1,98 = 3,41 m² (bain, WC, lavabo)</w:t>
      </w:r>
    </w:p>
    <w:p>
      <w:pPr>
        <w:pStyle w:val="Type de détail"/>
      </w:pPr>
      <w:r>
        <w:t xml:space="preserve">Pièces diverses :</w:t>
      </w:r>
    </w:p>
    <w:p>
      <w:pPr>
        <w:pStyle w:val="Détail"/>
        <w:numPr>
          <w:ilvl w:val="0"/>
          <w:numId w:val="3"/>
        </w:numPr>
      </w:pPr>
      <w:r>
        <w:t xml:space="preserve">Cave +- 40 m²</w:t>
      </w:r>
    </w:p>
    <w:p>
      <w:pPr>
        <w:pStyle w:val="Type de détail"/>
      </w:pPr>
      <w:r>
        <w:t xml:space="preserve">Terrain:</w:t>
      </w:r>
    </w:p>
    <w:p>
      <w:pPr>
        <w:pStyle w:val="Détail"/>
        <w:numPr>
          <w:ilvl w:val="0"/>
          <w:numId w:val="3"/>
        </w:numPr>
      </w:pPr>
      <w:r>
        <w:t xml:space="preserve">Cour 5,27 X 7,64 = 40,36 m² (donnant sur un petit atelier)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vitrocéramique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 Rangements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[Normal]"/>
        <w:rPr>
          <w:rFonts w:ascii="Century Gothic" w:hAnsi="Century Gothic" w:eastAsia="Century Gothic"/>
          <w:b w:val="on"/>
          <w:color w:val="000000"/>
          <w:sz w:val="20"/>
        </w:rPr>
      </w:pPr>
    </w:p>
    <w:p>
      <w:pPr>
        <w:pStyle w:val="[Normal]"/>
        <w:rPr>
          <w:rFonts w:ascii="Century Gothic" w:hAnsi="Century Gothic" w:eastAsia="Century Gothic"/>
          <w:b w:val="on"/>
          <w:color w:val="FFC000"/>
        </w:rPr>
      </w:pPr>
      <w:r>
        <w:rPr>
          <w:rFonts w:ascii="Century Gothic" w:hAnsi="Century Gothic" w:eastAsia="Century Gothic"/>
          <w:b w:val="on"/>
          <w:color w:val="FFC000"/>
        </w:rPr>
        <w:t xml:space="preserve">Photos :</w:t>
      </w:r>
    </w:p>
    <w:p>
      <w:pPr>
        <w:pStyle w:val="[Normal]"/>
        <w:jc w:val="center"/>
        <w:rPr>
          <w:rFonts w:ascii="Century Gothic" w:hAnsi="Century Gothic" w:eastAsia="Century Gothic"/>
          <w:b w:val="on"/>
          <w:color w:val="FFC000"/>
        </w:rPr>
      </w:pPr>
      <w:r>
        <w:drawing>
          <wp:inline distT="0" distB="0" distL="0" distR="0">
            <wp:extent cx="1553210" cy="206756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entury Gothic"/>
          <w:b w:val="on"/>
          <w:color w:val="FFC000"/>
        </w:rPr>
        <w:t xml:space="preserve">                </w:t>
      </w:r>
      <w:r>
        <w:drawing>
          <wp:inline distT="0" distB="0" distL="0" distR="0">
            <wp:extent cx="1553210" cy="206756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eastAsia="Century Gothic"/>
          <w:b w:val="on"/>
          <w:color w:val="FFC000"/>
        </w:rPr>
        <w:t xml:space="preserve">                </w:t>
      </w:r>
      <w:r>
        <w:drawing>
          <wp:inline distT="0" distB="0" distL="0" distR="0">
            <wp:extent cx="1553210" cy="206756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1"/>
      <w:footerReference w:type="default" r:id="rId00012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Century Gothic" w:hAnsi="Century Gothic" w:eastAsia="Century Gothic"/>
              <w:sz w:val="20"/>
            </w:rPr>
          </w:pPr>
          <w:r>
            <w:rPr>
              <w:rFonts w:ascii="Century Gothic" w:hAnsi="Century Gothic" w:eastAsia="Century Gothic"/>
              <w:sz w:val="20"/>
            </w:rPr>
            <w:t xml:space="preserve">Century 21 Boondael &amp; Century 21 Boondael Tél : 02 660 21 21 Site web :  www.century21boondael.be</w:t>
          </w:r>
        </w:p>
        <w:p>
          <w:pPr>
            <w:pStyle w:val="[Normal]"/>
            <w:jc w:val="center"/>
            <w:rPr>
              <w:rFonts w:ascii="Century Gothic" w:hAnsi="Century Gothic" w:eastAsia="Century Gothic"/>
              <w:sz w:val="20"/>
              <w:shd w:val="clear" w:fill="000000"/>
            </w:rPr>
          </w:pPr>
          <w:r>
            <w:rPr>
              <w:rFonts w:ascii="Century Gothic" w:hAnsi="Century Gothic" w:eastAsia="Century Gothic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Century Gothic" w:hAnsi="Century Gothic" w:eastAsia="Century Gothic"/>
        <w:color w:val="000000"/>
        <w:sz w:val="16"/>
      </w:rPr>
    </w:pPr>
    <w:r>
      <w:rPr>
        <w:rFonts w:ascii="Century Gothic" w:hAnsi="Century Gothic" w:eastAsia="Century Gothic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Century Gothic" w:hAnsi="Century Gothic" w:eastAsia="Century Gothic"/>
        <w:color w:val="000000"/>
        <w:sz w:val="16"/>
      </w:rPr>
    </w:pPr>
    <w:r>
      <w:rPr>
        <w:rFonts w:ascii="Century Gothic" w:hAnsi="Century Gothic" w:eastAsia="Century Gothic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inline distT="0" distB="0" distL="0" distR="0">
                <wp:extent cx="1762760" cy="990600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76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drawing>
              <wp:inline distT="0" distB="0" distL="0" distR="0">
                <wp:extent cx="1731645" cy="943610"/>
                <wp:docPr id="2" name="_tx_id_2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/>
                      </pic:nvPicPr>
                      <pic:blipFill>
                        <a:blip r:embed="rId000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943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[Normal]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à 1050 Ixelles                                                    Rue Lesbroussart, 56 à 1050 Ixelles</w:t>
    </w:r>
  </w:p>
  <w:p>
    <w:pPr>
      <w:pStyle w:val="[Normal]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02/660.21.21                                                                                                                                   02/360.10.10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	<Relationship Id="rId00006" Type="http://schemas.openxmlformats.org/officeDocument/2006/relationships/image" Target="media/image0002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